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45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AA732F" w:rsidRPr="00A23447" w14:paraId="1DAC6EEC" w14:textId="77777777" w:rsidTr="00B23B06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43559EF3" w14:textId="77777777" w:rsidR="00AA732F" w:rsidRPr="00A23447" w:rsidRDefault="00AA732F" w:rsidP="00B23B06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0"/>
                <w:szCs w:val="10"/>
                <w:lang w:val="es-ES" w:eastAsia="zh-CN"/>
              </w:rPr>
            </w:pPr>
            <w:bookmarkStart w:id="0" w:name="_Hlk123808454"/>
            <w:r w:rsidRPr="00A23447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TIEMPO CLIMA AGUA</w:t>
            </w:r>
          </w:p>
        </w:tc>
        <w:tc>
          <w:tcPr>
            <w:tcW w:w="6852" w:type="dxa"/>
            <w:vMerge w:val="restart"/>
          </w:tcPr>
          <w:p w14:paraId="46BFB069" w14:textId="77777777" w:rsidR="00AA732F" w:rsidRPr="00A23447" w:rsidRDefault="00AA732F" w:rsidP="00B23B06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/>
                <w:szCs w:val="22"/>
                <w:lang w:val="es-ES"/>
              </w:rPr>
            </w:pPr>
            <w:r w:rsidRPr="00A23447">
              <w:rPr>
                <w:noProof/>
                <w:color w:val="365F91"/>
                <w:szCs w:val="22"/>
                <w:lang w:val="es-ES" w:eastAsia="zh-CN"/>
              </w:rPr>
              <w:drawing>
                <wp:anchor distT="0" distB="0" distL="114300" distR="114300" simplePos="0" relativeHeight="251659264" behindDoc="1" locked="1" layoutInCell="1" allowOverlap="1" wp14:anchorId="5E630D9B" wp14:editId="190DEBDF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3447">
              <w:rPr>
                <w:b/>
                <w:bCs/>
                <w:color w:val="365F91"/>
                <w:lang w:val="es-ES"/>
              </w:rPr>
              <w:t>Organización Meteorológica Mundial</w:t>
            </w:r>
          </w:p>
          <w:p w14:paraId="42DF87B5" w14:textId="77777777" w:rsidR="00AA732F" w:rsidRPr="00A23447" w:rsidRDefault="00AA732F" w:rsidP="00B23B06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/>
                <w:spacing w:val="-2"/>
                <w:szCs w:val="22"/>
                <w:lang w:val="es-ES"/>
              </w:rPr>
            </w:pPr>
            <w:r w:rsidRPr="00A23447">
              <w:rPr>
                <w:b/>
                <w:bCs/>
                <w:color w:val="365F91"/>
                <w:lang w:val="es-ES"/>
              </w:rPr>
              <w:t>CONSEJO EJECUTIVO</w:t>
            </w:r>
          </w:p>
          <w:p w14:paraId="28974F38" w14:textId="12E1F04E" w:rsidR="00AA732F" w:rsidRPr="00A23447" w:rsidRDefault="00AA732F" w:rsidP="0070450F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/>
                <w:szCs w:val="22"/>
                <w:lang w:val="es-ES"/>
              </w:rPr>
            </w:pPr>
            <w:r w:rsidRPr="00A23447">
              <w:rPr>
                <w:b/>
                <w:bCs/>
                <w:color w:val="365F91"/>
                <w:lang w:val="es-ES"/>
              </w:rPr>
              <w:t xml:space="preserve">Septuagésima sexta reunión </w:t>
            </w:r>
            <w:r w:rsidR="0070450F" w:rsidRPr="00A23447">
              <w:rPr>
                <w:b/>
                <w:bCs/>
                <w:color w:val="365F91"/>
                <w:lang w:val="es-ES"/>
              </w:rPr>
              <w:br/>
            </w:r>
            <w:r w:rsidRPr="00A23447">
              <w:rPr>
                <w:color w:val="365F91"/>
                <w:lang w:val="es-ES"/>
              </w:rPr>
              <w:t>Ginebra, 27 de febrero a 3 de marzo de 2023</w:t>
            </w:r>
          </w:p>
        </w:tc>
        <w:tc>
          <w:tcPr>
            <w:tcW w:w="2962" w:type="dxa"/>
          </w:tcPr>
          <w:p w14:paraId="4FC6EE2F" w14:textId="49C59CAF" w:rsidR="00AA732F" w:rsidRPr="00A23447" w:rsidRDefault="00AA732F" w:rsidP="00B23B06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/>
                <w:szCs w:val="22"/>
                <w:lang w:val="es-ES"/>
              </w:rPr>
            </w:pPr>
            <w:r w:rsidRPr="00A23447">
              <w:rPr>
                <w:b/>
                <w:bCs/>
                <w:color w:val="365F91"/>
                <w:lang w:val="es-ES"/>
              </w:rPr>
              <w:t>EC-76/Doc. 3.</w:t>
            </w:r>
            <w:r w:rsidR="00F14E89" w:rsidRPr="00A23447">
              <w:rPr>
                <w:b/>
                <w:bCs/>
                <w:color w:val="365F91"/>
                <w:lang w:val="es-ES"/>
              </w:rPr>
              <w:t>2</w:t>
            </w:r>
            <w:r w:rsidRPr="00A23447">
              <w:rPr>
                <w:b/>
                <w:bCs/>
                <w:color w:val="365F91"/>
                <w:lang w:val="es-ES"/>
              </w:rPr>
              <w:t>(</w:t>
            </w:r>
            <w:r w:rsidR="00F14E89" w:rsidRPr="00A23447">
              <w:rPr>
                <w:b/>
                <w:bCs/>
                <w:color w:val="365F91"/>
                <w:lang w:val="es-ES"/>
              </w:rPr>
              <w:t>15</w:t>
            </w:r>
            <w:r w:rsidRPr="00A23447">
              <w:rPr>
                <w:b/>
                <w:bCs/>
                <w:color w:val="365F91"/>
                <w:lang w:val="es-ES"/>
              </w:rPr>
              <w:t>)</w:t>
            </w:r>
          </w:p>
        </w:tc>
      </w:tr>
      <w:tr w:rsidR="00AA732F" w:rsidRPr="00A23447" w14:paraId="317B3312" w14:textId="77777777" w:rsidTr="00B23B06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7B281225" w14:textId="77777777" w:rsidR="00AA732F" w:rsidRPr="00A23447" w:rsidRDefault="00AA732F" w:rsidP="00B23B06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6852" w:type="dxa"/>
            <w:vMerge/>
          </w:tcPr>
          <w:p w14:paraId="4B4D2168" w14:textId="77777777" w:rsidR="00AA732F" w:rsidRPr="00A23447" w:rsidRDefault="00AA732F" w:rsidP="00B23B06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/>
                <w:szCs w:val="22"/>
                <w:lang w:val="es-ES" w:eastAsia="zh-CN"/>
              </w:rPr>
            </w:pPr>
          </w:p>
        </w:tc>
        <w:tc>
          <w:tcPr>
            <w:tcW w:w="2962" w:type="dxa"/>
          </w:tcPr>
          <w:p w14:paraId="6907784F" w14:textId="77777777" w:rsidR="00AA732F" w:rsidRPr="00A23447" w:rsidRDefault="00AA732F" w:rsidP="0070450F">
            <w:pPr>
              <w:tabs>
                <w:tab w:val="clear" w:pos="1134"/>
              </w:tabs>
              <w:spacing w:before="120"/>
              <w:ind w:right="-108"/>
              <w:jc w:val="right"/>
              <w:rPr>
                <w:color w:val="365F91"/>
                <w:lang w:val="es-ES"/>
              </w:rPr>
            </w:pPr>
            <w:r w:rsidRPr="00A23447">
              <w:rPr>
                <w:color w:val="365F91"/>
                <w:lang w:val="es-ES"/>
              </w:rPr>
              <w:t>Presentado por:</w:t>
            </w:r>
          </w:p>
          <w:p w14:paraId="5E9F4D42" w14:textId="0CD1436F" w:rsidR="00AA732F" w:rsidRPr="00A23447" w:rsidRDefault="00AA732F" w:rsidP="0070450F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/>
                <w:szCs w:val="22"/>
                <w:lang w:val="es-ES"/>
              </w:rPr>
            </w:pPr>
            <w:r w:rsidRPr="00A23447">
              <w:rPr>
                <w:color w:val="365F91"/>
                <w:lang w:val="es-ES"/>
              </w:rPr>
              <w:t>presidente d</w:t>
            </w:r>
            <w:r w:rsidR="00FF4D54" w:rsidRPr="00A23447">
              <w:rPr>
                <w:color w:val="365F91"/>
                <w:lang w:val="es-ES"/>
              </w:rPr>
              <w:t xml:space="preserve">e la INFCOM </w:t>
            </w:r>
          </w:p>
          <w:p w14:paraId="2063BFA9" w14:textId="4F8AC06D" w:rsidR="00AA732F" w:rsidRPr="00A23447" w:rsidRDefault="00950FB5" w:rsidP="00B23B06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color w:val="365F91"/>
                <w:szCs w:val="22"/>
                <w:lang w:val="es-ES"/>
              </w:rPr>
            </w:pPr>
            <w:r w:rsidRPr="00A23447">
              <w:rPr>
                <w:color w:val="365F91"/>
                <w:lang w:val="es-ES"/>
              </w:rPr>
              <w:t>5</w:t>
            </w:r>
            <w:r w:rsidR="00AA732F" w:rsidRPr="00A23447">
              <w:rPr>
                <w:color w:val="365F91"/>
                <w:lang w:val="es-ES"/>
              </w:rPr>
              <w:t>.I.202</w:t>
            </w:r>
            <w:r w:rsidRPr="00A23447">
              <w:rPr>
                <w:color w:val="365F91"/>
                <w:lang w:val="es-ES"/>
              </w:rPr>
              <w:t>3</w:t>
            </w:r>
          </w:p>
          <w:p w14:paraId="2DBC7257" w14:textId="77777777" w:rsidR="00AA732F" w:rsidRPr="00A23447" w:rsidRDefault="00AA732F" w:rsidP="00B23B06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/>
                <w:szCs w:val="22"/>
                <w:lang w:val="es-ES"/>
              </w:rPr>
            </w:pPr>
            <w:r w:rsidRPr="00A23447">
              <w:rPr>
                <w:b/>
                <w:bCs/>
                <w:color w:val="365F91"/>
                <w:lang w:val="es-ES"/>
              </w:rPr>
              <w:t>VERSIÓN 1</w:t>
            </w:r>
          </w:p>
        </w:tc>
      </w:tr>
    </w:tbl>
    <w:p w14:paraId="1A7F0818" w14:textId="00CC9B29" w:rsidR="00A80767" w:rsidRPr="00A23447" w:rsidRDefault="00CE6C00" w:rsidP="0070450F">
      <w:pPr>
        <w:pStyle w:val="WMOBodyText"/>
        <w:ind w:left="3969" w:hanging="3969"/>
        <w:rPr>
          <w:lang w:val="es-ES"/>
        </w:rPr>
      </w:pPr>
      <w:r w:rsidRPr="00A23447">
        <w:rPr>
          <w:b/>
          <w:bCs/>
          <w:lang w:val="es-ES"/>
        </w:rPr>
        <w:t>PUNTO 3 DEL ORDEN DEL DÍA:</w:t>
      </w:r>
      <w:r w:rsidRPr="00A23447">
        <w:rPr>
          <w:lang w:val="es-ES"/>
        </w:rPr>
        <w:tab/>
      </w:r>
      <w:r w:rsidRPr="00A23447">
        <w:rPr>
          <w:b/>
          <w:bCs/>
          <w:lang w:val="es-ES"/>
        </w:rPr>
        <w:t xml:space="preserve">APLICACIÓN DE LAS DECISIONES </w:t>
      </w:r>
      <w:r w:rsidR="0070450F" w:rsidRPr="00A23447">
        <w:rPr>
          <w:b/>
          <w:bCs/>
          <w:lang w:val="es-ES"/>
        </w:rPr>
        <w:br/>
      </w:r>
      <w:r w:rsidRPr="00A23447">
        <w:rPr>
          <w:b/>
          <w:bCs/>
          <w:lang w:val="es-ES"/>
        </w:rPr>
        <w:t>DEL CONGRESO: CUESTIONES TÉCNICAS</w:t>
      </w:r>
    </w:p>
    <w:p w14:paraId="16664ECC" w14:textId="42D31A3D" w:rsidR="00A80767" w:rsidRPr="00A23447" w:rsidRDefault="00CE6C00" w:rsidP="0070450F">
      <w:pPr>
        <w:pStyle w:val="WMOBodyText"/>
        <w:ind w:left="3969" w:hanging="3969"/>
        <w:rPr>
          <w:lang w:val="es-ES"/>
        </w:rPr>
      </w:pPr>
      <w:r w:rsidRPr="00A23447">
        <w:rPr>
          <w:b/>
          <w:bCs/>
          <w:lang w:val="es-ES"/>
        </w:rPr>
        <w:t>PUNTO 3.2:</w:t>
      </w:r>
      <w:r w:rsidRPr="00A23447">
        <w:rPr>
          <w:lang w:val="es-ES"/>
        </w:rPr>
        <w:tab/>
      </w:r>
      <w:r w:rsidRPr="00A23447">
        <w:rPr>
          <w:b/>
          <w:bCs/>
          <w:lang w:val="es-ES"/>
        </w:rPr>
        <w:t xml:space="preserve">Meta a largo plazo 2: Observaciones </w:t>
      </w:r>
      <w:r w:rsidR="0070450F" w:rsidRPr="00A23447">
        <w:rPr>
          <w:b/>
          <w:bCs/>
          <w:lang w:val="es-ES"/>
        </w:rPr>
        <w:br/>
      </w:r>
      <w:r w:rsidRPr="00A23447">
        <w:rPr>
          <w:b/>
          <w:bCs/>
          <w:lang w:val="es-ES"/>
        </w:rPr>
        <w:t>y predicciones del sistema Tierra</w:t>
      </w:r>
    </w:p>
    <w:p w14:paraId="6DE9A5EC" w14:textId="40F797DC" w:rsidR="00A80767" w:rsidRPr="00A23447" w:rsidRDefault="00A54C6A" w:rsidP="00A80767">
      <w:pPr>
        <w:pStyle w:val="Heading1"/>
        <w:rPr>
          <w:lang w:val="es-ES"/>
        </w:rPr>
      </w:pPr>
      <w:bookmarkStart w:id="1" w:name="_APPENDIX_A:_"/>
      <w:bookmarkEnd w:id="1"/>
      <w:r w:rsidRPr="00A23447">
        <w:rPr>
          <w:lang w:val="es-ES"/>
        </w:rPr>
        <w:t xml:space="preserve">HACIA UN CAMBIO </w:t>
      </w:r>
      <w:r w:rsidR="007D37FB" w:rsidRPr="00A23447">
        <w:rPr>
          <w:lang w:val="es-ES"/>
        </w:rPr>
        <w:t>DE</w:t>
      </w:r>
      <w:r w:rsidRPr="00A23447">
        <w:rPr>
          <w:lang w:val="es-ES"/>
        </w:rPr>
        <w:t xml:space="preserve"> LAS REFERENCIAS RADIOMÉTRICAS</w:t>
      </w:r>
    </w:p>
    <w:p w14:paraId="378F4951" w14:textId="77777777" w:rsidR="00092CAE" w:rsidRPr="00A23447" w:rsidRDefault="00092CAE" w:rsidP="00092CAE">
      <w:pPr>
        <w:pStyle w:val="WMOBodyText"/>
        <w:rPr>
          <w:lang w:val="es-ES"/>
        </w:rPr>
      </w:pP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731AA" w:rsidRPr="00A23447" w14:paraId="3A19C715" w14:textId="77777777" w:rsidTr="00B43FCA">
        <w:trPr>
          <w:jc w:val="center"/>
        </w:trPr>
        <w:tc>
          <w:tcPr>
            <w:tcW w:w="5000" w:type="pct"/>
          </w:tcPr>
          <w:p w14:paraId="090FB184" w14:textId="6BC9788E" w:rsidR="000731AA" w:rsidRPr="00A23447" w:rsidRDefault="000731AA" w:rsidP="00F70707">
            <w:pPr>
              <w:pStyle w:val="WMOBodyText"/>
              <w:spacing w:before="120" w:after="120"/>
              <w:jc w:val="center"/>
              <w:rPr>
                <w:i/>
                <w:iCs/>
                <w:lang w:val="es-ES"/>
              </w:rPr>
            </w:pPr>
            <w:r w:rsidRPr="00A23447">
              <w:rPr>
                <w:b/>
                <w:bCs/>
                <w:lang w:val="es-ES"/>
              </w:rPr>
              <w:t>RESUMEN</w:t>
            </w:r>
          </w:p>
        </w:tc>
      </w:tr>
      <w:tr w:rsidR="000731AA" w:rsidRPr="009B12E8" w14:paraId="105627FC" w14:textId="77777777" w:rsidTr="009B12E8">
        <w:trPr>
          <w:trHeight w:val="3344"/>
          <w:jc w:val="center"/>
        </w:trPr>
        <w:tc>
          <w:tcPr>
            <w:tcW w:w="5000" w:type="pct"/>
          </w:tcPr>
          <w:p w14:paraId="09F737F7" w14:textId="434AA336" w:rsidR="000731AA" w:rsidRPr="00A23447" w:rsidRDefault="000731AA" w:rsidP="00B43FCA">
            <w:pPr>
              <w:pStyle w:val="WMOBodyText"/>
              <w:spacing w:before="120" w:after="120"/>
              <w:jc w:val="left"/>
              <w:rPr>
                <w:lang w:val="es-ES"/>
              </w:rPr>
            </w:pPr>
            <w:r w:rsidRPr="00A23447">
              <w:rPr>
                <w:b/>
                <w:bCs/>
                <w:lang w:val="es-ES"/>
              </w:rPr>
              <w:t>Documento presentado por:</w:t>
            </w:r>
            <w:r w:rsidRPr="00A23447">
              <w:rPr>
                <w:lang w:val="es-ES"/>
              </w:rPr>
              <w:t xml:space="preserve"> </w:t>
            </w:r>
            <w:r w:rsidR="0070450F" w:rsidRPr="00A23447">
              <w:rPr>
                <w:lang w:val="es-ES"/>
              </w:rPr>
              <w:t>e</w:t>
            </w:r>
            <w:r w:rsidRPr="00A23447">
              <w:rPr>
                <w:lang w:val="es-ES"/>
              </w:rPr>
              <w:t>l presidente de la Comisión de Observaciones, Infraestructura y Sistemas de Información (INFCOM).</w:t>
            </w:r>
          </w:p>
          <w:p w14:paraId="6C2AAF35" w14:textId="77777777" w:rsidR="000731AA" w:rsidRPr="00A23447" w:rsidRDefault="000731AA" w:rsidP="00B43FCA">
            <w:pPr>
              <w:pStyle w:val="WMOBodyText"/>
              <w:spacing w:before="120" w:after="120"/>
              <w:jc w:val="left"/>
              <w:rPr>
                <w:b/>
                <w:bCs/>
                <w:lang w:val="es-ES"/>
              </w:rPr>
            </w:pPr>
            <w:r w:rsidRPr="00A23447">
              <w:rPr>
                <w:b/>
                <w:bCs/>
                <w:lang w:val="es-ES"/>
              </w:rPr>
              <w:t xml:space="preserve">Objetivo estratégico para 2020-2023: </w:t>
            </w:r>
            <w:r w:rsidRPr="00A23447">
              <w:rPr>
                <w:lang w:val="es-ES"/>
              </w:rPr>
              <w:t>2.1.</w:t>
            </w:r>
          </w:p>
          <w:p w14:paraId="3C907219" w14:textId="130D159D" w:rsidR="000731AA" w:rsidRPr="00A23447" w:rsidRDefault="000731AA" w:rsidP="00B43FCA">
            <w:pPr>
              <w:pStyle w:val="WMOBodyText"/>
              <w:spacing w:before="120" w:after="120"/>
              <w:jc w:val="left"/>
              <w:rPr>
                <w:lang w:val="es-ES"/>
              </w:rPr>
            </w:pPr>
            <w:r w:rsidRPr="00A23447">
              <w:rPr>
                <w:b/>
                <w:bCs/>
                <w:lang w:val="es-ES"/>
              </w:rPr>
              <w:t xml:space="preserve">Consecuencias financieras y administrativas: </w:t>
            </w:r>
            <w:r w:rsidR="0070450F" w:rsidRPr="00A23447">
              <w:rPr>
                <w:lang w:val="es-ES"/>
              </w:rPr>
              <w:t>d</w:t>
            </w:r>
            <w:r w:rsidRPr="00A23447">
              <w:rPr>
                <w:lang w:val="es-ES"/>
              </w:rPr>
              <w:t>entro de los parámetros del Plan Estratégico y del Plan de Funcionamiento para 2020-2023</w:t>
            </w:r>
            <w:r w:rsidR="0070450F" w:rsidRPr="00A23447">
              <w:rPr>
                <w:lang w:val="es-ES"/>
              </w:rPr>
              <w:t>;</w:t>
            </w:r>
            <w:r w:rsidRPr="00A23447">
              <w:rPr>
                <w:lang w:val="es-ES"/>
              </w:rPr>
              <w:t xml:space="preserve"> se pondrán de manifiesto en el Plan Estratégico y el Plan de Funcionamiento para 2024-2027.</w:t>
            </w:r>
          </w:p>
          <w:p w14:paraId="0C760E04" w14:textId="24FD7549" w:rsidR="000731AA" w:rsidRPr="00A23447" w:rsidRDefault="000731AA" w:rsidP="00B43FCA">
            <w:pPr>
              <w:pStyle w:val="WMOBodyText"/>
              <w:spacing w:before="120" w:after="120"/>
              <w:jc w:val="left"/>
              <w:rPr>
                <w:lang w:val="es-ES"/>
              </w:rPr>
            </w:pPr>
            <w:r w:rsidRPr="00A23447">
              <w:rPr>
                <w:b/>
                <w:bCs/>
                <w:lang w:val="es-ES"/>
              </w:rPr>
              <w:t>Principales encargados de la ejecución:</w:t>
            </w:r>
            <w:r w:rsidRPr="00A23447">
              <w:rPr>
                <w:lang w:val="es-ES"/>
              </w:rPr>
              <w:t xml:space="preserve"> INFCOM.</w:t>
            </w:r>
          </w:p>
          <w:p w14:paraId="28045645" w14:textId="271783C0" w:rsidR="000731AA" w:rsidRPr="00A23447" w:rsidRDefault="000731AA" w:rsidP="00B43FCA">
            <w:pPr>
              <w:pStyle w:val="WMOBodyText"/>
              <w:spacing w:before="120" w:after="120"/>
              <w:jc w:val="left"/>
              <w:rPr>
                <w:lang w:val="es-ES"/>
              </w:rPr>
            </w:pPr>
            <w:r w:rsidRPr="00A23447">
              <w:rPr>
                <w:b/>
                <w:bCs/>
                <w:lang w:val="es-ES"/>
              </w:rPr>
              <w:t xml:space="preserve">Cronograma: </w:t>
            </w:r>
            <w:r w:rsidRPr="00A23447">
              <w:rPr>
                <w:lang w:val="es-ES"/>
              </w:rPr>
              <w:t>2023-2027.</w:t>
            </w:r>
          </w:p>
          <w:p w14:paraId="27660839" w14:textId="58BA8260" w:rsidR="000731AA" w:rsidRPr="00A23447" w:rsidRDefault="000731AA" w:rsidP="009B12E8">
            <w:pPr>
              <w:pStyle w:val="WMOBodyText"/>
              <w:spacing w:before="120" w:after="120"/>
              <w:jc w:val="left"/>
              <w:rPr>
                <w:lang w:val="es-ES"/>
              </w:rPr>
            </w:pPr>
            <w:r w:rsidRPr="00A23447">
              <w:rPr>
                <w:b/>
                <w:bCs/>
                <w:lang w:val="es-ES"/>
              </w:rPr>
              <w:t>Medida prevista:</w:t>
            </w:r>
            <w:r w:rsidRPr="00A23447">
              <w:rPr>
                <w:lang w:val="es-ES"/>
              </w:rPr>
              <w:t xml:space="preserve"> </w:t>
            </w:r>
            <w:r w:rsidR="00580E18" w:rsidRPr="00A23447">
              <w:rPr>
                <w:lang w:val="es-ES"/>
              </w:rPr>
              <w:t>e</w:t>
            </w:r>
            <w:r w:rsidRPr="00A23447">
              <w:rPr>
                <w:lang w:val="es-ES"/>
              </w:rPr>
              <w:t xml:space="preserve">xaminar </w:t>
            </w:r>
            <w:r w:rsidR="003177C7" w:rsidRPr="00A23447">
              <w:rPr>
                <w:lang w:val="es-ES"/>
              </w:rPr>
              <w:t>e</w:t>
            </w:r>
            <w:r w:rsidRPr="00A23447">
              <w:rPr>
                <w:lang w:val="es-ES"/>
              </w:rPr>
              <w:t>l proyecto de Resolución 3.2(</w:t>
            </w:r>
            <w:proofErr w:type="gramStart"/>
            <w:r w:rsidRPr="00A23447">
              <w:rPr>
                <w:lang w:val="es-ES"/>
              </w:rPr>
              <w:t>15)/</w:t>
            </w:r>
            <w:proofErr w:type="gramEnd"/>
            <w:r w:rsidRPr="00A23447">
              <w:rPr>
                <w:lang w:val="es-ES"/>
              </w:rPr>
              <w:t>1 (EC-76)</w:t>
            </w:r>
            <w:r w:rsidR="003177C7" w:rsidRPr="00A23447">
              <w:rPr>
                <w:lang w:val="es-ES"/>
              </w:rPr>
              <w:t xml:space="preserve"> — Hacia un cambio </w:t>
            </w:r>
            <w:r w:rsidR="00EA7BED" w:rsidRPr="00A23447">
              <w:rPr>
                <w:lang w:val="es-ES"/>
              </w:rPr>
              <w:t>de</w:t>
            </w:r>
            <w:r w:rsidR="003177C7" w:rsidRPr="00A23447">
              <w:rPr>
                <w:lang w:val="es-ES"/>
              </w:rPr>
              <w:t xml:space="preserve"> las referencias radiométricas</w:t>
            </w:r>
            <w:r w:rsidRPr="00A23447">
              <w:rPr>
                <w:lang w:val="es-ES"/>
              </w:rPr>
              <w:t>.</w:t>
            </w:r>
          </w:p>
        </w:tc>
      </w:tr>
    </w:tbl>
    <w:p w14:paraId="5448A7A4" w14:textId="77777777" w:rsidR="00092CAE" w:rsidRPr="00A23447" w:rsidRDefault="00092CAE">
      <w:pPr>
        <w:tabs>
          <w:tab w:val="clear" w:pos="1134"/>
        </w:tabs>
        <w:jc w:val="left"/>
        <w:rPr>
          <w:lang w:val="es-ES"/>
        </w:rPr>
      </w:pPr>
    </w:p>
    <w:p w14:paraId="02542828" w14:textId="77777777" w:rsidR="00331964" w:rsidRPr="00A23447" w:rsidRDefault="00331964">
      <w:pPr>
        <w:tabs>
          <w:tab w:val="clear" w:pos="1134"/>
        </w:tabs>
        <w:jc w:val="left"/>
        <w:rPr>
          <w:rFonts w:eastAsia="Verdana" w:cs="Verdana"/>
          <w:lang w:val="es-ES" w:eastAsia="zh-TW"/>
        </w:rPr>
      </w:pPr>
      <w:r w:rsidRPr="00A23447">
        <w:rPr>
          <w:lang w:val="es-ES"/>
        </w:rPr>
        <w:br w:type="page"/>
      </w:r>
    </w:p>
    <w:p w14:paraId="71953762" w14:textId="77777777" w:rsidR="00A80767" w:rsidRPr="00A23447" w:rsidRDefault="00A80767" w:rsidP="00A80767">
      <w:pPr>
        <w:pStyle w:val="Heading1"/>
        <w:rPr>
          <w:lang w:val="es-ES"/>
        </w:rPr>
      </w:pPr>
      <w:r w:rsidRPr="00A23447">
        <w:rPr>
          <w:lang w:val="es-ES"/>
        </w:rPr>
        <w:lastRenderedPageBreak/>
        <w:t>PROYECTO DE RESOLUCIÓN</w:t>
      </w:r>
    </w:p>
    <w:p w14:paraId="047A94EE" w14:textId="77777777" w:rsidR="00A80767" w:rsidRPr="00A23447" w:rsidRDefault="00A80767" w:rsidP="00A80767">
      <w:pPr>
        <w:pStyle w:val="Heading2"/>
        <w:rPr>
          <w:lang w:val="es-ES"/>
        </w:rPr>
      </w:pPr>
      <w:r w:rsidRPr="00A23447">
        <w:rPr>
          <w:lang w:val="es-ES"/>
        </w:rPr>
        <w:t>Proyecto de Resolución 3.2(15)/1 (EC-76)</w:t>
      </w:r>
    </w:p>
    <w:p w14:paraId="6DB02F45" w14:textId="15C85A80" w:rsidR="00A80767" w:rsidRPr="00A23447" w:rsidRDefault="00663492" w:rsidP="00A80767">
      <w:pPr>
        <w:pStyle w:val="Heading2"/>
        <w:rPr>
          <w:lang w:val="es-ES"/>
        </w:rPr>
      </w:pPr>
      <w:r w:rsidRPr="00A23447">
        <w:rPr>
          <w:lang w:val="es-ES"/>
        </w:rPr>
        <w:t xml:space="preserve">Hacia un cambio </w:t>
      </w:r>
      <w:r w:rsidR="00FF68F6" w:rsidRPr="00A23447">
        <w:rPr>
          <w:lang w:val="es-ES"/>
        </w:rPr>
        <w:t>de</w:t>
      </w:r>
      <w:r w:rsidRPr="00A23447">
        <w:rPr>
          <w:lang w:val="es-ES"/>
        </w:rPr>
        <w:t xml:space="preserve"> las referencias radiométricas</w:t>
      </w:r>
    </w:p>
    <w:p w14:paraId="1B126ED8" w14:textId="3E3A8B6B" w:rsidR="00E6030C" w:rsidRPr="00A23447" w:rsidRDefault="00E6030C" w:rsidP="00F40E9F">
      <w:pPr>
        <w:pStyle w:val="WMOBodyText"/>
        <w:spacing w:after="240"/>
        <w:rPr>
          <w:lang w:val="es-ES"/>
        </w:rPr>
      </w:pPr>
      <w:r w:rsidRPr="00A23447">
        <w:rPr>
          <w:lang w:val="es-ES"/>
        </w:rPr>
        <w:t>EL CONSEJO EJECUTIVO</w:t>
      </w:r>
      <w:r w:rsidR="00CF2384" w:rsidRPr="00A23447">
        <w:rPr>
          <w:lang w:val="es-ES"/>
        </w:rPr>
        <w:t>,</w:t>
      </w:r>
    </w:p>
    <w:p w14:paraId="2D3302DA" w14:textId="00B5ABB4" w:rsidR="00E6030C" w:rsidRPr="00A23447" w:rsidRDefault="00E6030C" w:rsidP="00E6030C">
      <w:pPr>
        <w:pStyle w:val="WMOBodyText"/>
        <w:rPr>
          <w:lang w:val="es-ES"/>
        </w:rPr>
      </w:pPr>
      <w:r w:rsidRPr="00A23447">
        <w:rPr>
          <w:b/>
          <w:bCs/>
          <w:lang w:val="es-ES"/>
        </w:rPr>
        <w:t xml:space="preserve">Recordando </w:t>
      </w:r>
      <w:r w:rsidRPr="00A23447">
        <w:rPr>
          <w:lang w:val="es-ES"/>
        </w:rPr>
        <w:t>que la Organización Meteorológica Mundial (OMM) e</w:t>
      </w:r>
      <w:r w:rsidR="00565CD4" w:rsidRPr="00A23447">
        <w:rPr>
          <w:lang w:val="es-ES"/>
        </w:rPr>
        <w:t xml:space="preserve">stableció </w:t>
      </w:r>
      <w:r w:rsidRPr="00A23447">
        <w:rPr>
          <w:lang w:val="es-ES"/>
        </w:rPr>
        <w:t xml:space="preserve">la Referencia Radiométrica Mundial (RRM) para las mediciones de </w:t>
      </w:r>
      <w:r w:rsidR="00AC4867" w:rsidRPr="00A23447">
        <w:rPr>
          <w:lang w:val="es-ES"/>
        </w:rPr>
        <w:t xml:space="preserve">la </w:t>
      </w:r>
      <w:r w:rsidRPr="00A23447">
        <w:rPr>
          <w:lang w:val="es-ES"/>
        </w:rPr>
        <w:t>irradia</w:t>
      </w:r>
      <w:r w:rsidR="00A63659" w:rsidRPr="00A23447">
        <w:rPr>
          <w:lang w:val="es-ES"/>
        </w:rPr>
        <w:t xml:space="preserve">ncia </w:t>
      </w:r>
      <w:r w:rsidRPr="00A23447">
        <w:rPr>
          <w:lang w:val="es-ES"/>
        </w:rPr>
        <w:t xml:space="preserve">solar y </w:t>
      </w:r>
      <w:r w:rsidR="008539E1" w:rsidRPr="00A23447">
        <w:rPr>
          <w:lang w:val="es-ES"/>
        </w:rPr>
        <w:t>l</w:t>
      </w:r>
      <w:r w:rsidRPr="00A23447">
        <w:rPr>
          <w:lang w:val="es-ES"/>
        </w:rPr>
        <w:t xml:space="preserve">a Referencia </w:t>
      </w:r>
      <w:r w:rsidR="0088159B" w:rsidRPr="00A23447">
        <w:rPr>
          <w:lang w:val="es-ES"/>
        </w:rPr>
        <w:t xml:space="preserve">Provisional </w:t>
      </w:r>
      <w:r w:rsidRPr="00A23447">
        <w:rPr>
          <w:lang w:val="es-ES"/>
        </w:rPr>
        <w:t xml:space="preserve">de </w:t>
      </w:r>
      <w:r w:rsidR="007C1686" w:rsidRPr="00A23447">
        <w:rPr>
          <w:lang w:val="es-ES"/>
        </w:rPr>
        <w:t>R</w:t>
      </w:r>
      <w:r w:rsidRPr="00A23447">
        <w:rPr>
          <w:lang w:val="es-ES"/>
        </w:rPr>
        <w:t xml:space="preserve">adiación </w:t>
      </w:r>
      <w:r w:rsidR="007C1686" w:rsidRPr="00A23447">
        <w:rPr>
          <w:lang w:val="es-ES"/>
        </w:rPr>
        <w:t>I</w:t>
      </w:r>
      <w:r w:rsidRPr="00A23447">
        <w:rPr>
          <w:lang w:val="es-ES"/>
        </w:rPr>
        <w:t xml:space="preserve">nfrarroja de la OMM para los </w:t>
      </w:r>
      <w:r w:rsidR="007C1686" w:rsidRPr="00A23447">
        <w:rPr>
          <w:lang w:val="es-ES"/>
        </w:rPr>
        <w:t>P</w:t>
      </w:r>
      <w:r w:rsidRPr="00A23447">
        <w:rPr>
          <w:lang w:val="es-ES"/>
        </w:rPr>
        <w:t>irgeómetros</w:t>
      </w:r>
      <w:r w:rsidR="008539E1" w:rsidRPr="00A23447">
        <w:rPr>
          <w:lang w:val="es-ES"/>
        </w:rPr>
        <w:t xml:space="preserve"> </w:t>
      </w:r>
      <w:r w:rsidRPr="00A23447">
        <w:rPr>
          <w:lang w:val="es-ES"/>
        </w:rPr>
        <w:t xml:space="preserve">para las mediciones de </w:t>
      </w:r>
      <w:r w:rsidR="00E131F8" w:rsidRPr="00A23447">
        <w:rPr>
          <w:lang w:val="es-ES"/>
        </w:rPr>
        <w:t xml:space="preserve">la </w:t>
      </w:r>
      <w:r w:rsidRPr="00A23447">
        <w:rPr>
          <w:lang w:val="es-ES"/>
        </w:rPr>
        <w:t>irradia</w:t>
      </w:r>
      <w:r w:rsidR="00833A83" w:rsidRPr="00A23447">
        <w:rPr>
          <w:lang w:val="es-ES"/>
        </w:rPr>
        <w:t xml:space="preserve">ncia </w:t>
      </w:r>
      <w:r w:rsidRPr="00A23447">
        <w:rPr>
          <w:lang w:val="es-ES"/>
        </w:rPr>
        <w:t>terrestre,</w:t>
      </w:r>
    </w:p>
    <w:p w14:paraId="19012962" w14:textId="57635D71" w:rsidR="00E6030C" w:rsidRPr="00A23447" w:rsidRDefault="00E6030C" w:rsidP="00E6030C">
      <w:pPr>
        <w:pStyle w:val="WMOBodyText"/>
        <w:rPr>
          <w:lang w:val="es-ES"/>
        </w:rPr>
      </w:pPr>
      <w:r w:rsidRPr="00A23447">
        <w:rPr>
          <w:b/>
          <w:bCs/>
          <w:lang w:val="es-ES"/>
        </w:rPr>
        <w:t xml:space="preserve">Reconociendo </w:t>
      </w:r>
      <w:r w:rsidRPr="00A23447">
        <w:rPr>
          <w:lang w:val="es-ES"/>
        </w:rPr>
        <w:t>que los avances tecnológicos recientes han permitido reducir de forma significativa las incertidumbres de esas referencias,</w:t>
      </w:r>
    </w:p>
    <w:p w14:paraId="5C9D5351" w14:textId="6A6A5E82" w:rsidR="00E6030C" w:rsidRPr="00A23447" w:rsidRDefault="00E6030C" w:rsidP="00E6030C">
      <w:pPr>
        <w:pStyle w:val="WMOBodyText"/>
        <w:rPr>
          <w:lang w:val="es-ES"/>
        </w:rPr>
      </w:pPr>
      <w:r w:rsidRPr="00A23447">
        <w:rPr>
          <w:b/>
          <w:bCs/>
          <w:lang w:val="es-ES"/>
        </w:rPr>
        <w:t xml:space="preserve">Reafirmando </w:t>
      </w:r>
      <w:r w:rsidRPr="00A23447">
        <w:rPr>
          <w:lang w:val="es-ES"/>
        </w:rPr>
        <w:t xml:space="preserve">la importancia de contar con referencias </w:t>
      </w:r>
      <w:r w:rsidR="00B47C40" w:rsidRPr="00A23447">
        <w:rPr>
          <w:lang w:val="es-ES"/>
        </w:rPr>
        <w:t>de</w:t>
      </w:r>
      <w:r w:rsidRPr="00A23447">
        <w:rPr>
          <w:lang w:val="es-ES"/>
        </w:rPr>
        <w:t xml:space="preserve"> la irradia</w:t>
      </w:r>
      <w:r w:rsidR="00BB66BF" w:rsidRPr="00A23447">
        <w:rPr>
          <w:lang w:val="es-ES"/>
        </w:rPr>
        <w:t xml:space="preserve">ncia </w:t>
      </w:r>
      <w:r w:rsidRPr="00A23447">
        <w:rPr>
          <w:lang w:val="es-ES"/>
        </w:rPr>
        <w:t xml:space="preserve">solar y terrestre </w:t>
      </w:r>
      <w:r w:rsidR="00030D81" w:rsidRPr="00A23447">
        <w:rPr>
          <w:lang w:val="es-ES"/>
        </w:rPr>
        <w:t xml:space="preserve">exactas </w:t>
      </w:r>
      <w:r w:rsidRPr="00A23447">
        <w:rPr>
          <w:lang w:val="es-ES"/>
        </w:rPr>
        <w:t xml:space="preserve">y estables para </w:t>
      </w:r>
      <w:r w:rsidR="007F21D8" w:rsidRPr="00A23447">
        <w:rPr>
          <w:lang w:val="es-ES"/>
        </w:rPr>
        <w:t>la evaluación d</w:t>
      </w:r>
      <w:r w:rsidRPr="00A23447">
        <w:rPr>
          <w:lang w:val="es-ES"/>
        </w:rPr>
        <w:t xml:space="preserve">el balance </w:t>
      </w:r>
      <w:r w:rsidR="006D1AD0" w:rsidRPr="00A23447">
        <w:rPr>
          <w:lang w:val="es-ES"/>
        </w:rPr>
        <w:t xml:space="preserve">energético </w:t>
      </w:r>
      <w:r w:rsidRPr="00A23447">
        <w:rPr>
          <w:lang w:val="es-ES"/>
        </w:rPr>
        <w:t>de la Tierra y el monitoreo del clima,</w:t>
      </w:r>
    </w:p>
    <w:p w14:paraId="1A92258B" w14:textId="5E6C3996" w:rsidR="00E6030C" w:rsidRPr="00A23447" w:rsidRDefault="00E6030C" w:rsidP="00E6030C">
      <w:pPr>
        <w:pStyle w:val="WMOBodyText"/>
        <w:rPr>
          <w:lang w:val="es-ES"/>
        </w:rPr>
      </w:pPr>
      <w:r w:rsidRPr="00A23447">
        <w:rPr>
          <w:b/>
          <w:bCs/>
          <w:lang w:val="es-ES"/>
        </w:rPr>
        <w:t xml:space="preserve">Teniendo presente </w:t>
      </w:r>
      <w:r w:rsidRPr="00A23447">
        <w:rPr>
          <w:lang w:val="es-ES"/>
        </w:rPr>
        <w:t>las consecuencias de</w:t>
      </w:r>
      <w:r w:rsidR="009A1091" w:rsidRPr="00A23447">
        <w:rPr>
          <w:lang w:val="es-ES"/>
        </w:rPr>
        <w:t xml:space="preserve"> un</w:t>
      </w:r>
      <w:r w:rsidRPr="00A23447">
        <w:rPr>
          <w:lang w:val="es-ES"/>
        </w:rPr>
        <w:t xml:space="preserve"> cambio de las referencias </w:t>
      </w:r>
      <w:r w:rsidR="005C1170" w:rsidRPr="00A23447">
        <w:rPr>
          <w:lang w:val="es-ES"/>
        </w:rPr>
        <w:t xml:space="preserve">para </w:t>
      </w:r>
      <w:r w:rsidRPr="00A23447">
        <w:rPr>
          <w:lang w:val="es-ES"/>
        </w:rPr>
        <w:t>las series temporales climáticas,</w:t>
      </w:r>
    </w:p>
    <w:p w14:paraId="73B6F42C" w14:textId="14A2696D" w:rsidR="00E6030C" w:rsidRPr="00A23447" w:rsidRDefault="00E6030C" w:rsidP="00E6030C">
      <w:pPr>
        <w:pStyle w:val="WMOBodyText"/>
        <w:rPr>
          <w:lang w:val="es-ES"/>
        </w:rPr>
      </w:pPr>
      <w:r w:rsidRPr="00A23447">
        <w:rPr>
          <w:b/>
          <w:bCs/>
          <w:lang w:val="es-ES"/>
        </w:rPr>
        <w:t xml:space="preserve">Observando </w:t>
      </w:r>
      <w:r w:rsidRPr="00A23447">
        <w:rPr>
          <w:lang w:val="es-ES"/>
        </w:rPr>
        <w:t>la petición del sector de la</w:t>
      </w:r>
      <w:r w:rsidR="00751EDB" w:rsidRPr="00A23447">
        <w:rPr>
          <w:lang w:val="es-ES"/>
        </w:rPr>
        <w:t>s</w:t>
      </w:r>
      <w:r w:rsidRPr="00A23447">
        <w:rPr>
          <w:lang w:val="es-ES"/>
        </w:rPr>
        <w:t xml:space="preserve"> energía</w:t>
      </w:r>
      <w:r w:rsidR="00751EDB" w:rsidRPr="00A23447">
        <w:rPr>
          <w:lang w:val="es-ES"/>
        </w:rPr>
        <w:t>s</w:t>
      </w:r>
      <w:r w:rsidRPr="00A23447">
        <w:rPr>
          <w:lang w:val="es-ES"/>
        </w:rPr>
        <w:t xml:space="preserve"> renovable</w:t>
      </w:r>
      <w:r w:rsidR="00751EDB" w:rsidRPr="00A23447">
        <w:rPr>
          <w:lang w:val="es-ES"/>
        </w:rPr>
        <w:t>s</w:t>
      </w:r>
      <w:r w:rsidRPr="00A23447">
        <w:rPr>
          <w:lang w:val="es-ES"/>
        </w:rPr>
        <w:t xml:space="preserve"> de que se introduzca sin demora una referencia de </w:t>
      </w:r>
      <w:r w:rsidR="005C1170" w:rsidRPr="00A23447">
        <w:rPr>
          <w:lang w:val="es-ES"/>
        </w:rPr>
        <w:t xml:space="preserve">la </w:t>
      </w:r>
      <w:r w:rsidRPr="00A23447">
        <w:rPr>
          <w:lang w:val="es-ES"/>
        </w:rPr>
        <w:t>irradia</w:t>
      </w:r>
      <w:r w:rsidR="000138B0" w:rsidRPr="00A23447">
        <w:rPr>
          <w:lang w:val="es-ES"/>
        </w:rPr>
        <w:t xml:space="preserve">ncia </w:t>
      </w:r>
      <w:r w:rsidRPr="00A23447">
        <w:rPr>
          <w:lang w:val="es-ES"/>
        </w:rPr>
        <w:t xml:space="preserve">solar basada en el </w:t>
      </w:r>
      <w:r w:rsidR="003E60DD" w:rsidRPr="00A23447">
        <w:rPr>
          <w:lang w:val="es-ES"/>
        </w:rPr>
        <w:t>Sistema Internacional de Unidades (</w:t>
      </w:r>
      <w:r w:rsidRPr="00A23447">
        <w:rPr>
          <w:lang w:val="es-ES"/>
        </w:rPr>
        <w:t>SI</w:t>
      </w:r>
      <w:r w:rsidR="003E60DD" w:rsidRPr="00A23447">
        <w:rPr>
          <w:lang w:val="es-ES"/>
        </w:rPr>
        <w:t>)</w:t>
      </w:r>
      <w:r w:rsidRPr="00A23447">
        <w:rPr>
          <w:lang w:val="es-ES"/>
        </w:rPr>
        <w:t>,</w:t>
      </w:r>
    </w:p>
    <w:p w14:paraId="4CC24268" w14:textId="7C727B44" w:rsidR="00E6030C" w:rsidRPr="00A23447" w:rsidRDefault="00E6030C" w:rsidP="00E6030C">
      <w:pPr>
        <w:pStyle w:val="WMOBodyText"/>
        <w:rPr>
          <w:lang w:val="es-ES"/>
        </w:rPr>
      </w:pPr>
      <w:r w:rsidRPr="00A23447">
        <w:rPr>
          <w:b/>
          <w:bCs/>
          <w:lang w:val="es-ES"/>
        </w:rPr>
        <w:t>Habiendo examinado</w:t>
      </w:r>
      <w:r w:rsidRPr="00A23447">
        <w:rPr>
          <w:lang w:val="es-ES"/>
        </w:rPr>
        <w:t xml:space="preserve"> la </w:t>
      </w:r>
      <w:hyperlink r:id="rId12" w:history="1">
        <w:r w:rsidRPr="00A23447">
          <w:rPr>
            <w:rStyle w:val="Hyperlink"/>
            <w:lang w:val="es-ES"/>
          </w:rPr>
          <w:t>Recomendación 6.2(5)/1 (INFCOM-2)</w:t>
        </w:r>
      </w:hyperlink>
      <w:r w:rsidR="003E60DD" w:rsidRPr="00A23447">
        <w:rPr>
          <w:lang w:val="es-ES"/>
        </w:rPr>
        <w:t xml:space="preserve"> — </w:t>
      </w:r>
      <w:r w:rsidR="00A66C6C" w:rsidRPr="00A23447">
        <w:rPr>
          <w:lang w:val="es-ES"/>
        </w:rPr>
        <w:t>Hacia un cambio en las referencias radiométricas</w:t>
      </w:r>
      <w:r w:rsidR="003E60DD" w:rsidRPr="00A23447">
        <w:rPr>
          <w:lang w:val="es-ES"/>
        </w:rPr>
        <w:t>,</w:t>
      </w:r>
    </w:p>
    <w:p w14:paraId="537A6486" w14:textId="70C69F11" w:rsidR="00E6030C" w:rsidRPr="00A23447" w:rsidRDefault="00AC1C40" w:rsidP="00E6030C">
      <w:pPr>
        <w:pStyle w:val="WMOBodyText"/>
        <w:rPr>
          <w:lang w:val="es-ES"/>
        </w:rPr>
      </w:pPr>
      <w:r w:rsidRPr="00A23447">
        <w:rPr>
          <w:b/>
          <w:bCs/>
          <w:lang w:val="es-ES"/>
        </w:rPr>
        <w:t xml:space="preserve">Está conforme </w:t>
      </w:r>
      <w:r w:rsidR="00E6030C" w:rsidRPr="00A23447">
        <w:rPr>
          <w:lang w:val="es-ES"/>
        </w:rPr>
        <w:t xml:space="preserve">con las condiciones propuestas por la </w:t>
      </w:r>
      <w:r w:rsidR="009B7632" w:rsidRPr="00A23447">
        <w:rPr>
          <w:lang w:val="es-ES"/>
        </w:rPr>
        <w:t>Comisión de Observaciones, Infraestructura y Sistemas de Información (INFCOM)</w:t>
      </w:r>
      <w:r w:rsidR="00E6030C" w:rsidRPr="00A23447">
        <w:rPr>
          <w:lang w:val="es-ES"/>
        </w:rPr>
        <w:t xml:space="preserve">, que figuran en el </w:t>
      </w:r>
      <w:hyperlink w:anchor="_Annex_to_draft_3" w:history="1">
        <w:r w:rsidR="00E6030C" w:rsidRPr="00A23447">
          <w:rPr>
            <w:rStyle w:val="Hyperlink"/>
            <w:lang w:val="es-ES"/>
          </w:rPr>
          <w:t>anexo</w:t>
        </w:r>
      </w:hyperlink>
      <w:r w:rsidR="00E6030C" w:rsidRPr="00A23447">
        <w:rPr>
          <w:lang w:val="es-ES"/>
        </w:rPr>
        <w:t xml:space="preserve"> a la presente </w:t>
      </w:r>
      <w:r w:rsidR="009B7632" w:rsidRPr="00A23447">
        <w:rPr>
          <w:lang w:val="es-ES"/>
        </w:rPr>
        <w:t>r</w:t>
      </w:r>
      <w:r w:rsidR="00E6030C" w:rsidRPr="00A23447">
        <w:rPr>
          <w:lang w:val="es-ES"/>
        </w:rPr>
        <w:t xml:space="preserve">esolución </w:t>
      </w:r>
      <w:r w:rsidR="00864C42" w:rsidRPr="00A23447">
        <w:rPr>
          <w:lang w:val="es-ES"/>
        </w:rPr>
        <w:t xml:space="preserve">y </w:t>
      </w:r>
      <w:r w:rsidR="00E6030C" w:rsidRPr="00A23447">
        <w:rPr>
          <w:lang w:val="es-ES"/>
        </w:rPr>
        <w:t xml:space="preserve">deberán cumplirse para </w:t>
      </w:r>
      <w:r w:rsidR="00864C42" w:rsidRPr="00A23447">
        <w:rPr>
          <w:lang w:val="es-ES"/>
        </w:rPr>
        <w:t xml:space="preserve">poder </w:t>
      </w:r>
      <w:r w:rsidR="00E6030C" w:rsidRPr="00A23447">
        <w:rPr>
          <w:lang w:val="es-ES"/>
        </w:rPr>
        <w:t xml:space="preserve">realizar cambios en las referencias relativas a las mediciones de </w:t>
      </w:r>
      <w:r w:rsidR="00D20A05" w:rsidRPr="00A23447">
        <w:rPr>
          <w:lang w:val="es-ES"/>
        </w:rPr>
        <w:t xml:space="preserve">la </w:t>
      </w:r>
      <w:r w:rsidR="00E6030C" w:rsidRPr="00A23447">
        <w:rPr>
          <w:lang w:val="es-ES"/>
        </w:rPr>
        <w:t>irradia</w:t>
      </w:r>
      <w:r w:rsidR="000138B0" w:rsidRPr="00A23447">
        <w:rPr>
          <w:lang w:val="es-ES"/>
        </w:rPr>
        <w:t xml:space="preserve">ncia </w:t>
      </w:r>
      <w:r w:rsidR="00E6030C" w:rsidRPr="00A23447">
        <w:rPr>
          <w:lang w:val="es-ES"/>
        </w:rPr>
        <w:t>solar y terrestre</w:t>
      </w:r>
      <w:r w:rsidR="00F43D65" w:rsidRPr="00A23447">
        <w:rPr>
          <w:lang w:val="es-ES"/>
        </w:rPr>
        <w:t>;</w:t>
      </w:r>
    </w:p>
    <w:p w14:paraId="196F533B" w14:textId="38503EAF" w:rsidR="00E6030C" w:rsidRPr="00A23447" w:rsidRDefault="00E6030C" w:rsidP="00E6030C">
      <w:pPr>
        <w:pStyle w:val="WMOBodyText"/>
        <w:rPr>
          <w:lang w:val="es-ES"/>
        </w:rPr>
      </w:pPr>
      <w:r w:rsidRPr="00A23447">
        <w:rPr>
          <w:b/>
          <w:bCs/>
          <w:lang w:val="es-ES"/>
        </w:rPr>
        <w:t xml:space="preserve">Decide </w:t>
      </w:r>
      <w:r w:rsidRPr="00A23447">
        <w:rPr>
          <w:lang w:val="es-ES"/>
        </w:rPr>
        <w:t xml:space="preserve">que la </w:t>
      </w:r>
      <w:r w:rsidR="00F43D65" w:rsidRPr="00A23447">
        <w:rPr>
          <w:lang w:val="es-ES"/>
        </w:rPr>
        <w:t xml:space="preserve">INFCOM </w:t>
      </w:r>
      <w:r w:rsidRPr="00A23447">
        <w:rPr>
          <w:lang w:val="es-ES"/>
        </w:rPr>
        <w:t>supervisar</w:t>
      </w:r>
      <w:r w:rsidR="00F43D65" w:rsidRPr="00A23447">
        <w:rPr>
          <w:lang w:val="es-ES"/>
        </w:rPr>
        <w:t>á</w:t>
      </w:r>
      <w:r w:rsidRPr="00A23447">
        <w:rPr>
          <w:lang w:val="es-ES"/>
        </w:rPr>
        <w:t xml:space="preserve"> </w:t>
      </w:r>
      <w:r w:rsidR="00BC2F55" w:rsidRPr="00A23447">
        <w:rPr>
          <w:lang w:val="es-ES"/>
        </w:rPr>
        <w:t xml:space="preserve">todo </w:t>
      </w:r>
      <w:r w:rsidRPr="00A23447">
        <w:rPr>
          <w:lang w:val="es-ES"/>
        </w:rPr>
        <w:t xml:space="preserve">el proceso, desde la concepción de los nuevos procedimientos y el establecimiento de </w:t>
      </w:r>
      <w:r w:rsidR="00BC2F55" w:rsidRPr="00A23447">
        <w:rPr>
          <w:lang w:val="es-ES"/>
        </w:rPr>
        <w:t xml:space="preserve">las </w:t>
      </w:r>
      <w:r w:rsidRPr="00A23447">
        <w:rPr>
          <w:lang w:val="es-ES"/>
        </w:rPr>
        <w:t>nuevas referencias y sus correspondientes grupos patrón de transferencia, hasta el mantenimiento y la difusión de las nuevas referencias a los instrumentos patrón a nivel regional o nacional;</w:t>
      </w:r>
    </w:p>
    <w:p w14:paraId="5ED8BD26" w14:textId="60D0341A" w:rsidR="00E6030C" w:rsidRPr="00A23447" w:rsidRDefault="00E6030C" w:rsidP="00E6030C">
      <w:pPr>
        <w:pStyle w:val="WMOBodyText"/>
        <w:rPr>
          <w:lang w:val="es-ES"/>
        </w:rPr>
      </w:pPr>
      <w:r w:rsidRPr="00A23447">
        <w:rPr>
          <w:b/>
          <w:bCs/>
          <w:lang w:val="es-ES"/>
        </w:rPr>
        <w:t xml:space="preserve">Solicita </w:t>
      </w:r>
      <w:r w:rsidRPr="00A23447">
        <w:rPr>
          <w:lang w:val="es-ES"/>
        </w:rPr>
        <w:t xml:space="preserve">a la </w:t>
      </w:r>
      <w:r w:rsidR="00FF1966" w:rsidRPr="00A23447">
        <w:rPr>
          <w:lang w:val="es-ES"/>
        </w:rPr>
        <w:t xml:space="preserve">INFCOM </w:t>
      </w:r>
      <w:r w:rsidRPr="00A23447">
        <w:rPr>
          <w:lang w:val="es-ES"/>
        </w:rPr>
        <w:t xml:space="preserve">y </w:t>
      </w:r>
      <w:r w:rsidR="00FF1966" w:rsidRPr="00A23447">
        <w:rPr>
          <w:lang w:val="es-ES"/>
        </w:rPr>
        <w:t>a</w:t>
      </w:r>
      <w:r w:rsidRPr="00A23447">
        <w:rPr>
          <w:lang w:val="es-ES"/>
        </w:rPr>
        <w:t xml:space="preserve">l Centro Radiométrico Mundial que lleven a cabo todos los procedimientos necesarios para facilitar el cambio </w:t>
      </w:r>
      <w:r w:rsidR="00054DBC" w:rsidRPr="00A23447">
        <w:rPr>
          <w:lang w:val="es-ES"/>
        </w:rPr>
        <w:t xml:space="preserve">de </w:t>
      </w:r>
      <w:r w:rsidRPr="00A23447">
        <w:rPr>
          <w:lang w:val="es-ES"/>
        </w:rPr>
        <w:t xml:space="preserve">las referencias, incluidas las modificaciones necesarias </w:t>
      </w:r>
      <w:r w:rsidR="00C41BA2" w:rsidRPr="00A23447">
        <w:rPr>
          <w:lang w:val="es-ES"/>
        </w:rPr>
        <w:t xml:space="preserve">en </w:t>
      </w:r>
      <w:r w:rsidRPr="00A23447">
        <w:rPr>
          <w:lang w:val="es-ES"/>
        </w:rPr>
        <w:t xml:space="preserve">los textos reglamentarios de la OMM, </w:t>
      </w:r>
      <w:r w:rsidR="007815E5" w:rsidRPr="00A23447">
        <w:rPr>
          <w:lang w:val="es-ES"/>
        </w:rPr>
        <w:t xml:space="preserve">así como </w:t>
      </w:r>
      <w:r w:rsidRPr="00A23447">
        <w:rPr>
          <w:lang w:val="es-ES"/>
        </w:rPr>
        <w:t xml:space="preserve">para el establecimiento y el mantenimiento de un grupo patrón </w:t>
      </w:r>
      <w:r w:rsidR="00C22FC7" w:rsidRPr="00A23447">
        <w:rPr>
          <w:lang w:val="es-ES"/>
        </w:rPr>
        <w:t xml:space="preserve">de </w:t>
      </w:r>
      <w:r w:rsidRPr="00A23447">
        <w:rPr>
          <w:lang w:val="es-ES"/>
        </w:rPr>
        <w:t>transferencia para la difusión de la</w:t>
      </w:r>
      <w:r w:rsidR="00117CCE" w:rsidRPr="00A23447">
        <w:rPr>
          <w:lang w:val="es-ES"/>
        </w:rPr>
        <w:t>s</w:t>
      </w:r>
      <w:r w:rsidRPr="00A23447">
        <w:rPr>
          <w:lang w:val="es-ES"/>
        </w:rPr>
        <w:t xml:space="preserve"> referencia</w:t>
      </w:r>
      <w:r w:rsidR="00117CCE" w:rsidRPr="00A23447">
        <w:rPr>
          <w:lang w:val="es-ES"/>
        </w:rPr>
        <w:t>s</w:t>
      </w:r>
      <w:r w:rsidRPr="00A23447">
        <w:rPr>
          <w:lang w:val="es-ES"/>
        </w:rPr>
        <w:t xml:space="preserve"> a los instrumentos patrón a nivel regional o nacional, y que supervisen la estabilidad de los nuevos instrumentos de referencia;</w:t>
      </w:r>
    </w:p>
    <w:p w14:paraId="3BDD35EB" w14:textId="180B0769" w:rsidR="00E6030C" w:rsidRPr="00A23447" w:rsidRDefault="00E6030C" w:rsidP="00E6030C">
      <w:pPr>
        <w:pStyle w:val="WMOBodyText"/>
        <w:rPr>
          <w:lang w:val="es-ES"/>
        </w:rPr>
      </w:pPr>
      <w:r w:rsidRPr="00A23447">
        <w:rPr>
          <w:b/>
          <w:bCs/>
          <w:lang w:val="es-ES"/>
        </w:rPr>
        <w:t xml:space="preserve">Solicita </w:t>
      </w:r>
      <w:r w:rsidR="00D54137" w:rsidRPr="00A23447">
        <w:rPr>
          <w:b/>
          <w:bCs/>
          <w:lang w:val="es-ES"/>
        </w:rPr>
        <w:t xml:space="preserve">también </w:t>
      </w:r>
      <w:r w:rsidRPr="00A23447">
        <w:rPr>
          <w:lang w:val="es-ES"/>
        </w:rPr>
        <w:t xml:space="preserve">a la </w:t>
      </w:r>
      <w:r w:rsidR="00D54137" w:rsidRPr="00A23447">
        <w:rPr>
          <w:lang w:val="es-ES"/>
        </w:rPr>
        <w:t xml:space="preserve">INFCOM </w:t>
      </w:r>
      <w:r w:rsidRPr="00A23447">
        <w:rPr>
          <w:lang w:val="es-ES"/>
        </w:rPr>
        <w:t xml:space="preserve">que aplique las mejores prácticas de metrología a la planificación del cambio </w:t>
      </w:r>
      <w:r w:rsidR="00FF68F6" w:rsidRPr="00A23447">
        <w:rPr>
          <w:lang w:val="es-ES"/>
        </w:rPr>
        <w:t xml:space="preserve">de </w:t>
      </w:r>
      <w:r w:rsidR="00804479" w:rsidRPr="00A23447">
        <w:rPr>
          <w:lang w:val="es-ES"/>
        </w:rPr>
        <w:t xml:space="preserve">las </w:t>
      </w:r>
      <w:r w:rsidRPr="00A23447">
        <w:rPr>
          <w:lang w:val="es-ES"/>
        </w:rPr>
        <w:t>referencias, colabor</w:t>
      </w:r>
      <w:r w:rsidR="00272D34" w:rsidRPr="00A23447">
        <w:rPr>
          <w:lang w:val="es-ES"/>
        </w:rPr>
        <w:t xml:space="preserve">e </w:t>
      </w:r>
      <w:r w:rsidRPr="00A23447">
        <w:rPr>
          <w:lang w:val="es-ES"/>
        </w:rPr>
        <w:t xml:space="preserve">con la comunidad </w:t>
      </w:r>
      <w:r w:rsidR="00ED4571" w:rsidRPr="00A23447">
        <w:rPr>
          <w:lang w:val="es-ES"/>
        </w:rPr>
        <w:t xml:space="preserve">metrológica </w:t>
      </w:r>
      <w:r w:rsidRPr="00A23447">
        <w:rPr>
          <w:lang w:val="es-ES"/>
        </w:rPr>
        <w:t>s</w:t>
      </w:r>
      <w:r w:rsidR="00E7554A" w:rsidRPr="00A23447">
        <w:rPr>
          <w:lang w:val="es-ES"/>
        </w:rPr>
        <w:t>egún resulte necesario</w:t>
      </w:r>
      <w:r w:rsidRPr="00A23447">
        <w:rPr>
          <w:lang w:val="es-ES"/>
        </w:rPr>
        <w:t xml:space="preserve"> y vele por una descripción y una caracterización adecuadas de las nuevas referencias;</w:t>
      </w:r>
    </w:p>
    <w:p w14:paraId="306A4D6A" w14:textId="772DAB68" w:rsidR="00E6030C" w:rsidRPr="00A23447" w:rsidRDefault="00E6030C" w:rsidP="00E6030C">
      <w:pPr>
        <w:pStyle w:val="WMOBodyText"/>
        <w:rPr>
          <w:lang w:val="es-ES"/>
        </w:rPr>
      </w:pPr>
      <w:r w:rsidRPr="00A23447">
        <w:rPr>
          <w:b/>
          <w:bCs/>
          <w:lang w:val="es-ES"/>
        </w:rPr>
        <w:t xml:space="preserve">Exhorta </w:t>
      </w:r>
      <w:r w:rsidRPr="00A23447">
        <w:rPr>
          <w:lang w:val="es-ES"/>
        </w:rPr>
        <w:t xml:space="preserve">al Centro Radiométrico Mundial, los centros radiométricos, la comunidad </w:t>
      </w:r>
      <w:r w:rsidR="00740524" w:rsidRPr="00A23447">
        <w:rPr>
          <w:lang w:val="es-ES"/>
        </w:rPr>
        <w:t>metrológica y la comunidad investigadora</w:t>
      </w:r>
      <w:r w:rsidRPr="00A23447">
        <w:rPr>
          <w:lang w:val="es-ES"/>
        </w:rPr>
        <w:t>:</w:t>
      </w:r>
    </w:p>
    <w:p w14:paraId="7928BB90" w14:textId="427F08AA" w:rsidR="00E6030C" w:rsidRPr="00A23447" w:rsidRDefault="00E6030C" w:rsidP="00E6030C">
      <w:pPr>
        <w:pStyle w:val="WMOBodyText"/>
        <w:ind w:left="567" w:hanging="567"/>
        <w:rPr>
          <w:rFonts w:eastAsia="Times New Roman" w:cs="Calibri"/>
          <w:color w:val="000000"/>
          <w:bdr w:val="none" w:sz="0" w:space="0" w:color="auto" w:frame="1"/>
          <w:lang w:val="es-ES"/>
        </w:rPr>
      </w:pPr>
      <w:r w:rsidRPr="00A23447">
        <w:rPr>
          <w:lang w:val="es-ES"/>
        </w:rPr>
        <w:lastRenderedPageBreak/>
        <w:t>1)</w:t>
      </w:r>
      <w:r w:rsidRPr="00A23447">
        <w:rPr>
          <w:lang w:val="es-ES"/>
        </w:rPr>
        <w:tab/>
        <w:t>a publicar en artículos revisados por pares el balance de incertidumbre de los instrumentos de referencia propuestos</w:t>
      </w:r>
      <w:r w:rsidR="00DC2FEB" w:rsidRPr="00A23447">
        <w:rPr>
          <w:lang w:val="es-ES"/>
        </w:rPr>
        <w:t xml:space="preserve"> para la medición de </w:t>
      </w:r>
      <w:r w:rsidR="00E72979" w:rsidRPr="00A23447">
        <w:rPr>
          <w:lang w:val="es-ES"/>
        </w:rPr>
        <w:t xml:space="preserve">la </w:t>
      </w:r>
      <w:r w:rsidR="00DC2FEB" w:rsidRPr="00A23447">
        <w:rPr>
          <w:lang w:val="es-ES"/>
        </w:rPr>
        <w:t>irradia</w:t>
      </w:r>
      <w:r w:rsidR="000138B0" w:rsidRPr="00A23447">
        <w:rPr>
          <w:lang w:val="es-ES"/>
        </w:rPr>
        <w:t xml:space="preserve">ncia </w:t>
      </w:r>
      <w:r w:rsidR="00DC2FEB" w:rsidRPr="00A23447">
        <w:rPr>
          <w:lang w:val="es-ES"/>
        </w:rPr>
        <w:t>solar y terrestre</w:t>
      </w:r>
      <w:r w:rsidRPr="00A23447">
        <w:rPr>
          <w:lang w:val="es-ES"/>
        </w:rPr>
        <w:t>;</w:t>
      </w:r>
    </w:p>
    <w:p w14:paraId="2AB07E45" w14:textId="3D15A159" w:rsidR="00E6030C" w:rsidRPr="00A23447" w:rsidRDefault="00E6030C" w:rsidP="00E6030C">
      <w:pPr>
        <w:pStyle w:val="WMOBodyText"/>
        <w:ind w:left="567" w:hanging="567"/>
        <w:rPr>
          <w:rFonts w:eastAsia="Times New Roman" w:cs="Calibri"/>
          <w:color w:val="000000"/>
          <w:bdr w:val="none" w:sz="0" w:space="0" w:color="auto" w:frame="1"/>
          <w:lang w:val="es-ES"/>
        </w:rPr>
      </w:pPr>
      <w:r w:rsidRPr="00A23447">
        <w:rPr>
          <w:lang w:val="es-ES"/>
        </w:rPr>
        <w:t>2)</w:t>
      </w:r>
      <w:r w:rsidRPr="00A23447">
        <w:rPr>
          <w:lang w:val="es-ES"/>
        </w:rPr>
        <w:tab/>
        <w:t>a realizar intercomparaciones de esos instrumentos para evaluar sus desempeños y la estabilidad de las nuevas referencias propuestas;</w:t>
      </w:r>
    </w:p>
    <w:p w14:paraId="4FE8F9C1" w14:textId="6E6A8F56" w:rsidR="00E6030C" w:rsidRPr="00A23447" w:rsidRDefault="00E6030C" w:rsidP="00692DC7">
      <w:pPr>
        <w:pStyle w:val="WMOBodyText"/>
        <w:ind w:left="567" w:hanging="567"/>
        <w:rPr>
          <w:rFonts w:eastAsia="Times New Roman" w:cs="Calibri"/>
          <w:color w:val="000000"/>
          <w:bdr w:val="none" w:sz="0" w:space="0" w:color="auto" w:frame="1"/>
          <w:lang w:val="es-ES"/>
        </w:rPr>
      </w:pPr>
      <w:r w:rsidRPr="00A23447">
        <w:rPr>
          <w:lang w:val="es-ES"/>
        </w:rPr>
        <w:t>3)</w:t>
      </w:r>
      <w:r w:rsidRPr="00A23447">
        <w:rPr>
          <w:lang w:val="es-ES"/>
        </w:rPr>
        <w:tab/>
        <w:t>a llev</w:t>
      </w:r>
      <w:r w:rsidR="00612069" w:rsidRPr="00A23447">
        <w:rPr>
          <w:lang w:val="es-ES"/>
        </w:rPr>
        <w:t>ar</w:t>
      </w:r>
      <w:r w:rsidRPr="00A23447">
        <w:rPr>
          <w:lang w:val="es-ES"/>
        </w:rPr>
        <w:t xml:space="preserve"> a cabo otras </w:t>
      </w:r>
      <w:r w:rsidR="009236F9" w:rsidRPr="00A23447">
        <w:rPr>
          <w:lang w:val="es-ES"/>
        </w:rPr>
        <w:t>determinaciones</w:t>
      </w:r>
      <w:r w:rsidRPr="00A23447">
        <w:rPr>
          <w:lang w:val="es-ES"/>
        </w:rPr>
        <w:t xml:space="preserve"> independientes de </w:t>
      </w:r>
      <w:r w:rsidR="007B5978" w:rsidRPr="00A23447">
        <w:rPr>
          <w:lang w:val="es-ES"/>
        </w:rPr>
        <w:t xml:space="preserve">la </w:t>
      </w:r>
      <w:r w:rsidRPr="00A23447">
        <w:rPr>
          <w:lang w:val="es-ES"/>
        </w:rPr>
        <w:t xml:space="preserve">referencia de </w:t>
      </w:r>
      <w:r w:rsidR="00E3139E" w:rsidRPr="00A23447">
        <w:rPr>
          <w:lang w:val="es-ES"/>
        </w:rPr>
        <w:t xml:space="preserve">la </w:t>
      </w:r>
      <w:r w:rsidRPr="00A23447">
        <w:rPr>
          <w:lang w:val="es-ES"/>
        </w:rPr>
        <w:t>irradia</w:t>
      </w:r>
      <w:r w:rsidR="000138B0" w:rsidRPr="00A23447">
        <w:rPr>
          <w:lang w:val="es-ES"/>
        </w:rPr>
        <w:t xml:space="preserve">ncia </w:t>
      </w:r>
      <w:r w:rsidRPr="00A23447">
        <w:rPr>
          <w:lang w:val="es-ES"/>
        </w:rPr>
        <w:t xml:space="preserve">solar o </w:t>
      </w:r>
      <w:r w:rsidR="009E4903" w:rsidRPr="00A23447">
        <w:rPr>
          <w:lang w:val="es-ES"/>
        </w:rPr>
        <w:t xml:space="preserve">a elaborar </w:t>
      </w:r>
      <w:r w:rsidRPr="00A23447">
        <w:rPr>
          <w:lang w:val="es-ES"/>
        </w:rPr>
        <w:t xml:space="preserve">un segundo instrumento </w:t>
      </w:r>
      <w:r w:rsidR="0005562A" w:rsidRPr="00A23447">
        <w:rPr>
          <w:lang w:val="es-ES"/>
        </w:rPr>
        <w:t xml:space="preserve">con el mismo diseño que </w:t>
      </w:r>
      <w:r w:rsidR="003107EA" w:rsidRPr="00A23447">
        <w:rPr>
          <w:lang w:val="es-ES"/>
        </w:rPr>
        <w:t xml:space="preserve">el </w:t>
      </w:r>
      <w:r w:rsidR="00E628AF" w:rsidRPr="00A23447">
        <w:rPr>
          <w:lang w:val="es-ES"/>
        </w:rPr>
        <w:t xml:space="preserve">radiómetro solar </w:t>
      </w:r>
      <w:r w:rsidR="00862DB4" w:rsidRPr="00A23447">
        <w:rPr>
          <w:lang w:val="es-ES"/>
        </w:rPr>
        <w:t>criogénico absoluto (</w:t>
      </w:r>
      <w:r w:rsidRPr="00A23447">
        <w:rPr>
          <w:lang w:val="es-ES"/>
        </w:rPr>
        <w:t>CSAR</w:t>
      </w:r>
      <w:r w:rsidR="00862DB4" w:rsidRPr="00A23447">
        <w:rPr>
          <w:lang w:val="es-ES"/>
        </w:rPr>
        <w:t>)</w:t>
      </w:r>
      <w:r w:rsidRPr="00A23447">
        <w:rPr>
          <w:lang w:val="es-ES"/>
        </w:rPr>
        <w:t>/</w:t>
      </w:r>
      <w:r w:rsidR="00BD0426" w:rsidRPr="00A23447">
        <w:rPr>
          <w:lang w:val="es-ES"/>
        </w:rPr>
        <w:t xml:space="preserve">monitor de transmitancia </w:t>
      </w:r>
      <w:r w:rsidR="004C7CB8" w:rsidRPr="00A23447">
        <w:rPr>
          <w:lang w:val="es-ES"/>
        </w:rPr>
        <w:t>integrada (</w:t>
      </w:r>
      <w:r w:rsidRPr="00A23447">
        <w:rPr>
          <w:lang w:val="es-ES"/>
        </w:rPr>
        <w:t>MITRA</w:t>
      </w:r>
      <w:r w:rsidR="004C7CB8" w:rsidRPr="00A23447">
        <w:rPr>
          <w:lang w:val="es-ES"/>
        </w:rPr>
        <w:t>)</w:t>
      </w:r>
      <w:r w:rsidRPr="00A23447">
        <w:rPr>
          <w:lang w:val="es-ES"/>
        </w:rPr>
        <w:t xml:space="preserve"> para así mitigar los riesgos vinculados a las fallas técnicas de un </w:t>
      </w:r>
      <w:r w:rsidR="00F46BB5" w:rsidRPr="00A23447">
        <w:rPr>
          <w:lang w:val="es-ES"/>
        </w:rPr>
        <w:t xml:space="preserve">único </w:t>
      </w:r>
      <w:r w:rsidRPr="00A23447">
        <w:rPr>
          <w:lang w:val="es-ES"/>
        </w:rPr>
        <w:t>instrumento.</w:t>
      </w:r>
    </w:p>
    <w:p w14:paraId="2F9368E0" w14:textId="1E2989C2" w:rsidR="00E6030C" w:rsidRPr="00692DC7" w:rsidRDefault="00E6030C" w:rsidP="00692DC7">
      <w:pPr>
        <w:spacing w:before="360" w:after="480"/>
        <w:jc w:val="center"/>
      </w:pPr>
      <w:r w:rsidRPr="00692DC7">
        <w:t>______________</w:t>
      </w:r>
    </w:p>
    <w:p w14:paraId="452B35D6" w14:textId="04896D57" w:rsidR="00A80767" w:rsidRPr="00A23447" w:rsidRDefault="00924DDF" w:rsidP="00A80767">
      <w:pPr>
        <w:pStyle w:val="WMOBodyText"/>
        <w:rPr>
          <w:color w:val="0000FF"/>
          <w:lang w:val="es-ES"/>
        </w:rPr>
      </w:pPr>
      <w:hyperlink w:anchor="Anexo" w:history="1">
        <w:r w:rsidR="003A4C19" w:rsidRPr="00A23447">
          <w:rPr>
            <w:rStyle w:val="Hyperlink"/>
            <w:lang w:val="es-ES"/>
          </w:rPr>
          <w:t>An</w:t>
        </w:r>
        <w:r w:rsidR="003A4C19" w:rsidRPr="00A23447">
          <w:rPr>
            <w:rStyle w:val="Hyperlink"/>
            <w:lang w:val="es-ES"/>
          </w:rPr>
          <w:t>e</w:t>
        </w:r>
        <w:r w:rsidR="003A4C19" w:rsidRPr="00A23447">
          <w:rPr>
            <w:rStyle w:val="Hyperlink"/>
            <w:lang w:val="es-ES"/>
          </w:rPr>
          <w:t>xo: 1</w:t>
        </w:r>
      </w:hyperlink>
    </w:p>
    <w:p w14:paraId="7FB37A05" w14:textId="53F48DFB" w:rsidR="00F46BB5" w:rsidRPr="00A23447" w:rsidRDefault="00F46BB5" w:rsidP="004B01D3">
      <w:pPr>
        <w:pStyle w:val="WMOBodyText"/>
        <w:rPr>
          <w:lang w:val="es-ES" w:eastAsia="en-US"/>
        </w:rPr>
      </w:pPr>
      <w:r w:rsidRPr="00A23447">
        <w:rPr>
          <w:lang w:val="es-ES" w:eastAsia="en-US"/>
        </w:rPr>
        <w:br w:type="page"/>
      </w:r>
    </w:p>
    <w:p w14:paraId="2DCC2AC6" w14:textId="77777777" w:rsidR="00A80767" w:rsidRPr="00A23447" w:rsidRDefault="00A80767" w:rsidP="00A80767">
      <w:pPr>
        <w:pStyle w:val="Heading2"/>
        <w:rPr>
          <w:lang w:val="es-ES"/>
        </w:rPr>
      </w:pPr>
      <w:bookmarkStart w:id="2" w:name="_Annex_to_draft_3"/>
      <w:bookmarkStart w:id="3" w:name="_Annex_to_draft"/>
      <w:bookmarkStart w:id="4" w:name="Anexo"/>
      <w:bookmarkEnd w:id="2"/>
      <w:bookmarkEnd w:id="3"/>
      <w:r w:rsidRPr="00A23447">
        <w:rPr>
          <w:lang w:val="es-ES"/>
        </w:rPr>
        <w:lastRenderedPageBreak/>
        <w:t>Anexo al proyecto de Resolución 3.2(15)/1 (EC-76)</w:t>
      </w:r>
      <w:bookmarkEnd w:id="4"/>
    </w:p>
    <w:p w14:paraId="0C91B185" w14:textId="12AE1A88" w:rsidR="006B5673" w:rsidRPr="00A23447" w:rsidRDefault="006B5673" w:rsidP="006B5673">
      <w:pPr>
        <w:pStyle w:val="Pa20"/>
        <w:spacing w:before="240" w:line="240" w:lineRule="auto"/>
        <w:jc w:val="center"/>
        <w:rPr>
          <w:rFonts w:cs="Verdana"/>
          <w:color w:val="221E1F"/>
          <w:sz w:val="22"/>
          <w:szCs w:val="22"/>
          <w:lang w:val="es-ES"/>
        </w:rPr>
      </w:pPr>
      <w:bookmarkStart w:id="5" w:name="_Hlk64549354"/>
      <w:bookmarkStart w:id="6" w:name="_Hlk64551231"/>
      <w:r w:rsidRPr="00A23447">
        <w:rPr>
          <w:b/>
          <w:bCs/>
          <w:sz w:val="22"/>
          <w:szCs w:val="22"/>
          <w:lang w:val="es-ES"/>
        </w:rPr>
        <w:t xml:space="preserve">Condiciones para </w:t>
      </w:r>
      <w:r w:rsidR="007D37FB" w:rsidRPr="00A23447">
        <w:rPr>
          <w:b/>
          <w:bCs/>
          <w:sz w:val="22"/>
          <w:szCs w:val="22"/>
          <w:lang w:val="es-ES"/>
        </w:rPr>
        <w:t xml:space="preserve">cambiar </w:t>
      </w:r>
      <w:r w:rsidRPr="00A23447">
        <w:rPr>
          <w:b/>
          <w:bCs/>
          <w:sz w:val="22"/>
          <w:szCs w:val="22"/>
          <w:lang w:val="es-ES"/>
        </w:rPr>
        <w:t>las referencias de</w:t>
      </w:r>
      <w:r w:rsidR="00FD120F" w:rsidRPr="00A23447">
        <w:rPr>
          <w:b/>
          <w:bCs/>
          <w:sz w:val="22"/>
          <w:szCs w:val="22"/>
          <w:lang w:val="es-ES"/>
        </w:rPr>
        <w:t xml:space="preserve"> la</w:t>
      </w:r>
      <w:r w:rsidRPr="00A23447">
        <w:rPr>
          <w:b/>
          <w:bCs/>
          <w:sz w:val="22"/>
          <w:szCs w:val="22"/>
          <w:lang w:val="es-ES"/>
        </w:rPr>
        <w:t xml:space="preserve"> irradia</w:t>
      </w:r>
      <w:r w:rsidR="00FD120F" w:rsidRPr="00A23447">
        <w:rPr>
          <w:b/>
          <w:bCs/>
          <w:sz w:val="22"/>
          <w:szCs w:val="22"/>
          <w:lang w:val="es-ES"/>
        </w:rPr>
        <w:t>ncia</w:t>
      </w:r>
      <w:bookmarkEnd w:id="5"/>
      <w:bookmarkEnd w:id="6"/>
    </w:p>
    <w:p w14:paraId="4C53E8A6" w14:textId="318E3C0D" w:rsidR="006B5673" w:rsidRPr="00A23447" w:rsidRDefault="00803692" w:rsidP="000930FC">
      <w:pPr>
        <w:spacing w:before="240" w:after="240"/>
        <w:jc w:val="left"/>
        <w:rPr>
          <w:rFonts w:cs="Verdana"/>
          <w:color w:val="221E1F"/>
          <w:lang w:val="es-ES"/>
        </w:rPr>
      </w:pPr>
      <w:r w:rsidRPr="00A23447">
        <w:rPr>
          <w:lang w:val="es-ES"/>
        </w:rPr>
        <w:t>A</w:t>
      </w:r>
      <w:r w:rsidR="006B5673" w:rsidRPr="00A23447">
        <w:rPr>
          <w:lang w:val="es-ES"/>
        </w:rPr>
        <w:t xml:space="preserve"> continuación </w:t>
      </w:r>
      <w:r w:rsidRPr="00A23447">
        <w:rPr>
          <w:lang w:val="es-ES"/>
        </w:rPr>
        <w:t xml:space="preserve">figuran </w:t>
      </w:r>
      <w:r w:rsidR="006B5673" w:rsidRPr="00A23447">
        <w:rPr>
          <w:lang w:val="es-ES"/>
        </w:rPr>
        <w:t xml:space="preserve">las condiciones mínimas que deben cumplirse si se quieren </w:t>
      </w:r>
      <w:r w:rsidRPr="00A23447">
        <w:rPr>
          <w:lang w:val="es-ES"/>
        </w:rPr>
        <w:t xml:space="preserve">cambiar </w:t>
      </w:r>
      <w:r w:rsidR="006B5673" w:rsidRPr="00A23447">
        <w:rPr>
          <w:lang w:val="es-ES"/>
        </w:rPr>
        <w:t xml:space="preserve">las referencias para las mediciones de </w:t>
      </w:r>
      <w:r w:rsidR="00216E3C" w:rsidRPr="00A23447">
        <w:rPr>
          <w:lang w:val="es-ES"/>
        </w:rPr>
        <w:t xml:space="preserve">la </w:t>
      </w:r>
      <w:r w:rsidR="006B5673" w:rsidRPr="00A23447">
        <w:rPr>
          <w:lang w:val="es-ES"/>
        </w:rPr>
        <w:t>irradia</w:t>
      </w:r>
      <w:r w:rsidR="00FD120F" w:rsidRPr="00A23447">
        <w:rPr>
          <w:lang w:val="es-ES"/>
        </w:rPr>
        <w:t xml:space="preserve">ncia </w:t>
      </w:r>
      <w:r w:rsidR="006B5673" w:rsidRPr="00A23447">
        <w:rPr>
          <w:lang w:val="es-ES"/>
        </w:rPr>
        <w:t>solar o terrestre.</w:t>
      </w:r>
    </w:p>
    <w:p w14:paraId="4A10FE06" w14:textId="77777777" w:rsidR="006B5673" w:rsidRPr="00A23447" w:rsidRDefault="006B5673" w:rsidP="000930FC">
      <w:pPr>
        <w:pStyle w:val="Heading3"/>
        <w:spacing w:after="240"/>
        <w:rPr>
          <w:lang w:val="es-ES"/>
        </w:rPr>
      </w:pPr>
      <w:r w:rsidRPr="00A23447">
        <w:rPr>
          <w:lang w:val="es-ES"/>
        </w:rPr>
        <w:t>Radiación terrestre</w:t>
      </w:r>
    </w:p>
    <w:p w14:paraId="08EDFE3B" w14:textId="42B77667" w:rsidR="006B5673" w:rsidRPr="00A23447" w:rsidRDefault="006B5673" w:rsidP="000930FC">
      <w:pPr>
        <w:pStyle w:val="xmsonormal"/>
        <w:shd w:val="clear" w:color="auto" w:fill="FFFFFF"/>
        <w:spacing w:before="240" w:beforeAutospacing="0" w:after="240" w:afterAutospacing="0"/>
        <w:ind w:left="567" w:hanging="567"/>
        <w:rPr>
          <w:rFonts w:ascii="Verdana" w:hAnsi="Verdana" w:cs="Calibri"/>
          <w:color w:val="201F1E"/>
          <w:sz w:val="20"/>
          <w:szCs w:val="20"/>
          <w:lang w:val="es-ES"/>
        </w:rPr>
      </w:pPr>
      <w:bookmarkStart w:id="7" w:name="_Hlk115449853"/>
      <w:r w:rsidRPr="00A23447">
        <w:rPr>
          <w:rFonts w:ascii="Verdana" w:hAnsi="Verdana"/>
          <w:sz w:val="20"/>
          <w:szCs w:val="20"/>
          <w:lang w:val="es-ES"/>
        </w:rPr>
        <w:t>1)</w:t>
      </w:r>
      <w:r w:rsidRPr="00A23447">
        <w:rPr>
          <w:rFonts w:ascii="Verdana" w:hAnsi="Verdana"/>
          <w:sz w:val="20"/>
          <w:szCs w:val="20"/>
          <w:lang w:val="es-ES"/>
        </w:rPr>
        <w:tab/>
      </w:r>
      <w:r w:rsidR="009F5F76" w:rsidRPr="00A23447">
        <w:rPr>
          <w:rFonts w:ascii="Verdana" w:hAnsi="Verdana"/>
          <w:sz w:val="20"/>
          <w:szCs w:val="20"/>
          <w:lang w:val="es-ES"/>
        </w:rPr>
        <w:t xml:space="preserve">Para toda </w:t>
      </w:r>
      <w:r w:rsidRPr="00A23447">
        <w:rPr>
          <w:rFonts w:ascii="Verdana" w:hAnsi="Verdana"/>
          <w:sz w:val="20"/>
          <w:szCs w:val="20"/>
          <w:lang w:val="es-ES"/>
        </w:rPr>
        <w:t xml:space="preserve">referencia o referencias </w:t>
      </w:r>
      <w:r w:rsidR="00165678" w:rsidRPr="00A23447">
        <w:rPr>
          <w:rFonts w:ascii="Verdana" w:hAnsi="Verdana"/>
          <w:sz w:val="20"/>
          <w:szCs w:val="20"/>
          <w:lang w:val="es-ES"/>
        </w:rPr>
        <w:t>nuevas</w:t>
      </w:r>
      <w:r w:rsidR="009F5F76" w:rsidRPr="00A23447">
        <w:rPr>
          <w:rFonts w:ascii="Verdana" w:hAnsi="Verdana"/>
          <w:sz w:val="20"/>
          <w:szCs w:val="20"/>
          <w:lang w:val="es-ES"/>
        </w:rPr>
        <w:t>,</w:t>
      </w:r>
      <w:r w:rsidR="00165678" w:rsidRPr="00A23447">
        <w:rPr>
          <w:rFonts w:ascii="Verdana" w:hAnsi="Verdana"/>
          <w:sz w:val="20"/>
          <w:szCs w:val="20"/>
          <w:lang w:val="es-ES"/>
        </w:rPr>
        <w:t xml:space="preserve"> </w:t>
      </w:r>
      <w:r w:rsidRPr="00A23447">
        <w:rPr>
          <w:rFonts w:ascii="Verdana" w:hAnsi="Verdana"/>
          <w:sz w:val="20"/>
          <w:szCs w:val="20"/>
          <w:lang w:val="es-ES"/>
        </w:rPr>
        <w:t>debe</w:t>
      </w:r>
      <w:r w:rsidR="00D940F3" w:rsidRPr="00A23447">
        <w:rPr>
          <w:rFonts w:ascii="Verdana" w:hAnsi="Verdana"/>
          <w:sz w:val="20"/>
          <w:szCs w:val="20"/>
          <w:lang w:val="es-ES"/>
        </w:rPr>
        <w:t xml:space="preserve">rá </w:t>
      </w:r>
      <w:r w:rsidR="009F5F76" w:rsidRPr="00A23447">
        <w:rPr>
          <w:rFonts w:ascii="Verdana" w:hAnsi="Verdana"/>
          <w:sz w:val="20"/>
          <w:szCs w:val="20"/>
          <w:lang w:val="es-ES"/>
        </w:rPr>
        <w:t xml:space="preserve">demostrarse </w:t>
      </w:r>
      <w:r w:rsidR="00165678" w:rsidRPr="00A23447">
        <w:rPr>
          <w:rFonts w:ascii="Verdana" w:hAnsi="Verdana"/>
          <w:sz w:val="20"/>
          <w:szCs w:val="20"/>
          <w:lang w:val="es-ES"/>
        </w:rPr>
        <w:t xml:space="preserve">su </w:t>
      </w:r>
      <w:r w:rsidRPr="00A23447">
        <w:rPr>
          <w:rFonts w:ascii="Verdana" w:hAnsi="Verdana"/>
          <w:sz w:val="20"/>
          <w:szCs w:val="20"/>
          <w:lang w:val="es-ES"/>
        </w:rPr>
        <w:t xml:space="preserve">trazabilidad con respecto al </w:t>
      </w:r>
      <w:r w:rsidR="00803293" w:rsidRPr="00A23447">
        <w:rPr>
          <w:rFonts w:ascii="Verdana" w:hAnsi="Verdana"/>
          <w:sz w:val="20"/>
          <w:szCs w:val="20"/>
          <w:lang w:val="es-ES"/>
        </w:rPr>
        <w:t>Sistema Internacional de Unidades (</w:t>
      </w:r>
      <w:r w:rsidRPr="00A23447">
        <w:rPr>
          <w:rFonts w:ascii="Verdana" w:hAnsi="Verdana"/>
          <w:sz w:val="20"/>
          <w:szCs w:val="20"/>
          <w:lang w:val="es-ES"/>
        </w:rPr>
        <w:t>SI</w:t>
      </w:r>
      <w:r w:rsidR="00803293" w:rsidRPr="00A23447">
        <w:rPr>
          <w:rFonts w:ascii="Verdana" w:hAnsi="Verdana"/>
          <w:sz w:val="20"/>
          <w:szCs w:val="20"/>
          <w:lang w:val="es-ES"/>
        </w:rPr>
        <w:t>)</w:t>
      </w:r>
      <w:r w:rsidRPr="00A23447">
        <w:rPr>
          <w:rFonts w:ascii="Verdana" w:hAnsi="Verdana"/>
          <w:sz w:val="20"/>
          <w:szCs w:val="20"/>
          <w:lang w:val="es-ES"/>
        </w:rPr>
        <w:t xml:space="preserve"> —por ejemplo, </w:t>
      </w:r>
      <w:r w:rsidR="00DB759E" w:rsidRPr="00A23447">
        <w:rPr>
          <w:rFonts w:ascii="Verdana" w:hAnsi="Verdana"/>
          <w:sz w:val="20"/>
          <w:szCs w:val="20"/>
          <w:lang w:val="es-ES"/>
        </w:rPr>
        <w:t xml:space="preserve">mediante </w:t>
      </w:r>
      <w:r w:rsidR="000C312A" w:rsidRPr="00A23447">
        <w:rPr>
          <w:rFonts w:ascii="Verdana" w:hAnsi="Verdana"/>
          <w:sz w:val="20"/>
          <w:szCs w:val="20"/>
          <w:lang w:val="es-ES"/>
        </w:rPr>
        <w:t>c</w:t>
      </w:r>
      <w:r w:rsidRPr="00A23447">
        <w:rPr>
          <w:rFonts w:ascii="Verdana" w:hAnsi="Verdana"/>
          <w:sz w:val="20"/>
          <w:szCs w:val="20"/>
          <w:lang w:val="es-ES"/>
        </w:rPr>
        <w:t xml:space="preserve">apacidades de </w:t>
      </w:r>
      <w:r w:rsidR="000C312A" w:rsidRPr="00A23447">
        <w:rPr>
          <w:rFonts w:ascii="Verdana" w:hAnsi="Verdana"/>
          <w:sz w:val="20"/>
          <w:szCs w:val="20"/>
          <w:lang w:val="es-ES"/>
        </w:rPr>
        <w:t>m</w:t>
      </w:r>
      <w:r w:rsidRPr="00A23447">
        <w:rPr>
          <w:rFonts w:ascii="Verdana" w:hAnsi="Verdana"/>
          <w:sz w:val="20"/>
          <w:szCs w:val="20"/>
          <w:lang w:val="es-ES"/>
        </w:rPr>
        <w:t>edi</w:t>
      </w:r>
      <w:r w:rsidR="009D36D5" w:rsidRPr="00A23447">
        <w:rPr>
          <w:rFonts w:ascii="Verdana" w:hAnsi="Verdana"/>
          <w:sz w:val="20"/>
          <w:szCs w:val="20"/>
          <w:lang w:val="es-ES"/>
        </w:rPr>
        <w:t xml:space="preserve">ción </w:t>
      </w:r>
      <w:r w:rsidRPr="00A23447">
        <w:rPr>
          <w:rFonts w:ascii="Verdana" w:hAnsi="Verdana"/>
          <w:sz w:val="20"/>
          <w:szCs w:val="20"/>
          <w:lang w:val="es-ES"/>
        </w:rPr>
        <w:t xml:space="preserve">y </w:t>
      </w:r>
      <w:r w:rsidR="000C312A" w:rsidRPr="00A23447">
        <w:rPr>
          <w:rFonts w:ascii="Verdana" w:hAnsi="Verdana"/>
          <w:sz w:val="20"/>
          <w:szCs w:val="20"/>
          <w:lang w:val="es-ES"/>
        </w:rPr>
        <w:t>c</w:t>
      </w:r>
      <w:r w:rsidRPr="00A23447">
        <w:rPr>
          <w:rFonts w:ascii="Verdana" w:hAnsi="Verdana"/>
          <w:sz w:val="20"/>
          <w:szCs w:val="20"/>
          <w:lang w:val="es-ES"/>
        </w:rPr>
        <w:t>alibración (CMC)</w:t>
      </w:r>
      <w:r w:rsidR="009D36D5" w:rsidRPr="00A23447">
        <w:rPr>
          <w:rFonts w:ascii="Verdana" w:hAnsi="Verdana"/>
          <w:sz w:val="20"/>
          <w:szCs w:val="20"/>
          <w:lang w:val="es-ES"/>
        </w:rPr>
        <w:t xml:space="preserve"> aprobadas</w:t>
      </w:r>
      <w:r w:rsidRPr="00A23447">
        <w:rPr>
          <w:rFonts w:ascii="Verdana" w:hAnsi="Verdana"/>
          <w:sz w:val="20"/>
          <w:szCs w:val="20"/>
          <w:lang w:val="es-ES"/>
        </w:rPr>
        <w:t xml:space="preserve">— y </w:t>
      </w:r>
      <w:r w:rsidR="00B43408" w:rsidRPr="00A23447">
        <w:rPr>
          <w:rFonts w:ascii="Verdana" w:hAnsi="Verdana"/>
          <w:sz w:val="20"/>
          <w:szCs w:val="20"/>
          <w:lang w:val="es-ES"/>
        </w:rPr>
        <w:t xml:space="preserve">estas </w:t>
      </w:r>
      <w:r w:rsidRPr="00A23447">
        <w:rPr>
          <w:rFonts w:ascii="Verdana" w:hAnsi="Verdana"/>
          <w:sz w:val="20"/>
          <w:szCs w:val="20"/>
          <w:lang w:val="es-ES"/>
        </w:rPr>
        <w:t>debe</w:t>
      </w:r>
      <w:r w:rsidR="007C19A5" w:rsidRPr="00A23447">
        <w:rPr>
          <w:rFonts w:ascii="Verdana" w:hAnsi="Verdana"/>
          <w:sz w:val="20"/>
          <w:szCs w:val="20"/>
          <w:lang w:val="es-ES"/>
        </w:rPr>
        <w:t>rá</w:t>
      </w:r>
      <w:r w:rsidRPr="00A23447">
        <w:rPr>
          <w:rFonts w:ascii="Verdana" w:hAnsi="Verdana"/>
          <w:sz w:val="20"/>
          <w:szCs w:val="20"/>
          <w:lang w:val="es-ES"/>
        </w:rPr>
        <w:t xml:space="preserve">n estar documentadas en artículos científicos en los que consten sus desempeños, incluido un balance de incertidumbre. En caso de que más de una referencia </w:t>
      </w:r>
      <w:r w:rsidR="00781F53" w:rsidRPr="00A23447">
        <w:rPr>
          <w:rFonts w:ascii="Verdana" w:hAnsi="Verdana"/>
          <w:sz w:val="20"/>
          <w:szCs w:val="20"/>
          <w:lang w:val="es-ES"/>
        </w:rPr>
        <w:t xml:space="preserve">nueva </w:t>
      </w:r>
      <w:r w:rsidRPr="00A23447">
        <w:rPr>
          <w:rFonts w:ascii="Verdana" w:hAnsi="Verdana"/>
          <w:sz w:val="20"/>
          <w:szCs w:val="20"/>
          <w:lang w:val="es-ES"/>
        </w:rPr>
        <w:t>cumpla las condiciones</w:t>
      </w:r>
      <w:r w:rsidR="00FA637F" w:rsidRPr="00A23447">
        <w:rPr>
          <w:rFonts w:ascii="Verdana" w:hAnsi="Verdana"/>
          <w:sz w:val="20"/>
          <w:szCs w:val="20"/>
          <w:lang w:val="es-ES"/>
        </w:rPr>
        <w:t xml:space="preserve"> definidas</w:t>
      </w:r>
      <w:r w:rsidRPr="00A23447">
        <w:rPr>
          <w:rFonts w:ascii="Verdana" w:hAnsi="Verdana"/>
          <w:sz w:val="20"/>
          <w:szCs w:val="20"/>
          <w:lang w:val="es-ES"/>
        </w:rPr>
        <w:t xml:space="preserve">, las referencias </w:t>
      </w:r>
      <w:r w:rsidR="0010604A" w:rsidRPr="00A23447">
        <w:rPr>
          <w:rFonts w:ascii="Verdana" w:hAnsi="Verdana"/>
          <w:sz w:val="20"/>
          <w:szCs w:val="20"/>
          <w:lang w:val="es-ES"/>
        </w:rPr>
        <w:t xml:space="preserve">nuevas </w:t>
      </w:r>
      <w:r w:rsidRPr="00A23447">
        <w:rPr>
          <w:rFonts w:ascii="Verdana" w:hAnsi="Verdana"/>
          <w:sz w:val="20"/>
          <w:szCs w:val="20"/>
          <w:lang w:val="es-ES"/>
        </w:rPr>
        <w:t xml:space="preserve">deberán </w:t>
      </w:r>
      <w:r w:rsidR="00A41A7A" w:rsidRPr="00A23447">
        <w:rPr>
          <w:rFonts w:ascii="Verdana" w:hAnsi="Verdana"/>
          <w:sz w:val="20"/>
          <w:szCs w:val="20"/>
          <w:lang w:val="es-ES"/>
        </w:rPr>
        <w:t xml:space="preserve">observar </w:t>
      </w:r>
      <w:r w:rsidR="0014185A" w:rsidRPr="00A23447">
        <w:rPr>
          <w:rFonts w:ascii="Verdana" w:hAnsi="Verdana"/>
          <w:sz w:val="20"/>
          <w:szCs w:val="20"/>
          <w:lang w:val="es-ES"/>
        </w:rPr>
        <w:t xml:space="preserve">las </w:t>
      </w:r>
      <w:r w:rsidRPr="00A23447">
        <w:rPr>
          <w:rFonts w:ascii="Verdana" w:hAnsi="Verdana"/>
          <w:sz w:val="20"/>
          <w:szCs w:val="20"/>
          <w:lang w:val="es-ES"/>
        </w:rPr>
        <w:t xml:space="preserve">incertidumbres estipuladas </w:t>
      </w:r>
      <w:r w:rsidR="00A11B67" w:rsidRPr="00A23447">
        <w:rPr>
          <w:rFonts w:ascii="Verdana" w:hAnsi="Verdana"/>
          <w:sz w:val="20"/>
          <w:szCs w:val="20"/>
          <w:lang w:val="es-ES"/>
        </w:rPr>
        <w:t xml:space="preserve">en </w:t>
      </w:r>
      <w:r w:rsidRPr="00A23447">
        <w:rPr>
          <w:rFonts w:ascii="Verdana" w:hAnsi="Verdana"/>
          <w:sz w:val="20"/>
          <w:szCs w:val="20"/>
          <w:lang w:val="es-ES"/>
        </w:rPr>
        <w:t>comparaciones internacionales.</w:t>
      </w:r>
      <w:bookmarkEnd w:id="7"/>
    </w:p>
    <w:p w14:paraId="2D3ECCF1" w14:textId="1BE35B9A" w:rsidR="006B5673" w:rsidRPr="00A23447" w:rsidRDefault="006B5673" w:rsidP="000930FC">
      <w:pPr>
        <w:pStyle w:val="xmsonormal"/>
        <w:shd w:val="clear" w:color="auto" w:fill="FFFFFF"/>
        <w:spacing w:before="240" w:beforeAutospacing="0" w:after="240" w:afterAutospacing="0"/>
        <w:ind w:left="567" w:hanging="567"/>
        <w:rPr>
          <w:rFonts w:ascii="Verdana" w:hAnsi="Verdana" w:cs="Calibri"/>
          <w:color w:val="201F1E"/>
          <w:sz w:val="20"/>
          <w:szCs w:val="20"/>
          <w:lang w:val="es-ES"/>
        </w:rPr>
      </w:pPr>
      <w:r w:rsidRPr="00A23447">
        <w:rPr>
          <w:rFonts w:ascii="Verdana" w:hAnsi="Verdana"/>
          <w:sz w:val="20"/>
          <w:szCs w:val="20"/>
          <w:lang w:val="es-ES"/>
        </w:rPr>
        <w:t>2)</w:t>
      </w:r>
      <w:r w:rsidRPr="00A23447">
        <w:rPr>
          <w:rFonts w:ascii="Verdana" w:hAnsi="Verdana"/>
          <w:sz w:val="20"/>
          <w:szCs w:val="20"/>
          <w:lang w:val="es-ES"/>
        </w:rPr>
        <w:tab/>
        <w:t xml:space="preserve">Deberá seguir empleándose un grupo patrón de </w:t>
      </w:r>
      <w:proofErr w:type="spellStart"/>
      <w:r w:rsidRPr="00A23447">
        <w:rPr>
          <w:rFonts w:ascii="Verdana" w:hAnsi="Verdana"/>
          <w:sz w:val="20"/>
          <w:szCs w:val="20"/>
          <w:lang w:val="es-ES"/>
        </w:rPr>
        <w:t>pirgeómetros</w:t>
      </w:r>
      <w:proofErr w:type="spellEnd"/>
      <w:r w:rsidR="004725D2" w:rsidRPr="00A23447">
        <w:rPr>
          <w:rFonts w:ascii="Verdana" w:hAnsi="Verdana"/>
          <w:sz w:val="20"/>
          <w:szCs w:val="20"/>
          <w:lang w:val="es-ES"/>
        </w:rPr>
        <w:t xml:space="preserve"> de referencia</w:t>
      </w:r>
      <w:r w:rsidRPr="00A23447">
        <w:rPr>
          <w:rFonts w:ascii="Verdana" w:hAnsi="Verdana"/>
          <w:sz w:val="20"/>
          <w:szCs w:val="20"/>
          <w:lang w:val="es-ES"/>
        </w:rPr>
        <w:t xml:space="preserve">, similar al actual Grupo Mundial de Patrones de Radiación Infrarroja (WISG), como principal patrón de transferencia, con una calibración actualizada en relación con las nuevas referencias </w:t>
      </w:r>
      <w:r w:rsidR="00700808" w:rsidRPr="00A23447">
        <w:rPr>
          <w:rFonts w:ascii="Verdana" w:hAnsi="Verdana"/>
          <w:sz w:val="20"/>
          <w:szCs w:val="20"/>
          <w:lang w:val="es-ES"/>
        </w:rPr>
        <w:t xml:space="preserve">que se atenga </w:t>
      </w:r>
      <w:r w:rsidR="00AC338B" w:rsidRPr="00A23447">
        <w:rPr>
          <w:rFonts w:ascii="Verdana" w:hAnsi="Verdana"/>
          <w:sz w:val="20"/>
          <w:szCs w:val="20"/>
          <w:lang w:val="es-ES"/>
        </w:rPr>
        <w:t xml:space="preserve">a </w:t>
      </w:r>
      <w:r w:rsidRPr="00A23447">
        <w:rPr>
          <w:rFonts w:ascii="Verdana" w:hAnsi="Verdana"/>
          <w:sz w:val="20"/>
          <w:szCs w:val="20"/>
          <w:lang w:val="es-ES"/>
        </w:rPr>
        <w:t xml:space="preserve">los métodos </w:t>
      </w:r>
      <w:r w:rsidR="00AC338B" w:rsidRPr="00A23447">
        <w:rPr>
          <w:rFonts w:ascii="Verdana" w:hAnsi="Verdana"/>
          <w:sz w:val="20"/>
          <w:szCs w:val="20"/>
          <w:lang w:val="es-ES"/>
        </w:rPr>
        <w:t xml:space="preserve">metrológicos </w:t>
      </w:r>
      <w:r w:rsidRPr="00A23447">
        <w:rPr>
          <w:rFonts w:ascii="Verdana" w:hAnsi="Verdana"/>
          <w:sz w:val="20"/>
          <w:szCs w:val="20"/>
          <w:lang w:val="es-ES"/>
        </w:rPr>
        <w:t>más avanzados.</w:t>
      </w:r>
    </w:p>
    <w:p w14:paraId="5D48F32B" w14:textId="357A747F" w:rsidR="006B5673" w:rsidRPr="00A23447" w:rsidRDefault="006B5673" w:rsidP="000930FC">
      <w:pPr>
        <w:pStyle w:val="xmsonormal"/>
        <w:shd w:val="clear" w:color="auto" w:fill="FFFFFF"/>
        <w:spacing w:before="240" w:beforeAutospacing="0" w:after="240" w:afterAutospacing="0"/>
        <w:ind w:left="567" w:hanging="567"/>
        <w:rPr>
          <w:rFonts w:ascii="Verdana" w:hAnsi="Verdana" w:cs="Calibri"/>
          <w:color w:val="201F1E"/>
          <w:sz w:val="20"/>
          <w:szCs w:val="20"/>
          <w:lang w:val="es-ES"/>
        </w:rPr>
      </w:pPr>
      <w:r w:rsidRPr="00A23447">
        <w:rPr>
          <w:rFonts w:ascii="Verdana" w:hAnsi="Verdana"/>
          <w:sz w:val="20"/>
          <w:szCs w:val="20"/>
          <w:lang w:val="es-ES"/>
        </w:rPr>
        <w:t>3)</w:t>
      </w:r>
      <w:r w:rsidRPr="00A23447">
        <w:rPr>
          <w:rFonts w:ascii="Verdana" w:hAnsi="Verdana"/>
          <w:sz w:val="20"/>
          <w:szCs w:val="20"/>
          <w:lang w:val="es-ES"/>
        </w:rPr>
        <w:tab/>
      </w:r>
      <w:r w:rsidR="00AC338B" w:rsidRPr="00A23447">
        <w:rPr>
          <w:rFonts w:ascii="Verdana" w:hAnsi="Verdana"/>
          <w:sz w:val="20"/>
          <w:szCs w:val="20"/>
          <w:lang w:val="es-ES"/>
        </w:rPr>
        <w:t xml:space="preserve">Deberá disponerse de </w:t>
      </w:r>
      <w:r w:rsidRPr="00A23447">
        <w:rPr>
          <w:rFonts w:ascii="Verdana" w:hAnsi="Verdana"/>
          <w:sz w:val="20"/>
          <w:szCs w:val="20"/>
          <w:lang w:val="es-ES"/>
        </w:rPr>
        <w:t xml:space="preserve">procedimientos para la corrección de </w:t>
      </w:r>
      <w:r w:rsidR="00552025" w:rsidRPr="00A23447">
        <w:rPr>
          <w:rFonts w:ascii="Verdana" w:hAnsi="Verdana"/>
          <w:sz w:val="20"/>
          <w:szCs w:val="20"/>
          <w:lang w:val="es-ES"/>
        </w:rPr>
        <w:t xml:space="preserve">los </w:t>
      </w:r>
      <w:r w:rsidRPr="00A23447">
        <w:rPr>
          <w:rFonts w:ascii="Verdana" w:hAnsi="Verdana"/>
          <w:sz w:val="20"/>
          <w:szCs w:val="20"/>
          <w:lang w:val="es-ES"/>
        </w:rPr>
        <w:t>datos de medici</w:t>
      </w:r>
      <w:r w:rsidR="00552025" w:rsidRPr="00A23447">
        <w:rPr>
          <w:rFonts w:ascii="Verdana" w:hAnsi="Verdana"/>
          <w:sz w:val="20"/>
          <w:szCs w:val="20"/>
          <w:lang w:val="es-ES"/>
        </w:rPr>
        <w:t>ón</w:t>
      </w:r>
      <w:r w:rsidRPr="00A23447">
        <w:rPr>
          <w:rFonts w:ascii="Verdana" w:hAnsi="Verdana"/>
          <w:sz w:val="20"/>
          <w:szCs w:val="20"/>
          <w:lang w:val="es-ES"/>
        </w:rPr>
        <w:t xml:space="preserve"> </w:t>
      </w:r>
      <w:r w:rsidR="00416F39" w:rsidRPr="00A23447">
        <w:rPr>
          <w:rFonts w:ascii="Verdana" w:hAnsi="Verdana"/>
          <w:sz w:val="20"/>
          <w:szCs w:val="20"/>
          <w:lang w:val="es-ES"/>
        </w:rPr>
        <w:t xml:space="preserve">trazables </w:t>
      </w:r>
      <w:r w:rsidR="007177AF" w:rsidRPr="00A23447">
        <w:rPr>
          <w:rFonts w:ascii="Verdana" w:hAnsi="Verdana"/>
          <w:sz w:val="20"/>
          <w:szCs w:val="20"/>
          <w:lang w:val="es-ES"/>
        </w:rPr>
        <w:t>con respecto a</w:t>
      </w:r>
      <w:r w:rsidRPr="00A23447">
        <w:rPr>
          <w:rFonts w:ascii="Verdana" w:hAnsi="Verdana"/>
          <w:sz w:val="20"/>
          <w:szCs w:val="20"/>
          <w:lang w:val="es-ES"/>
        </w:rPr>
        <w:t xml:space="preserve">l </w:t>
      </w:r>
      <w:r w:rsidR="00337297" w:rsidRPr="00A23447">
        <w:rPr>
          <w:rFonts w:ascii="Verdana" w:hAnsi="Verdana"/>
          <w:sz w:val="20"/>
          <w:szCs w:val="20"/>
          <w:lang w:val="es-ES"/>
        </w:rPr>
        <w:t xml:space="preserve">actual </w:t>
      </w:r>
      <w:r w:rsidRPr="00A23447">
        <w:rPr>
          <w:rFonts w:ascii="Verdana" w:hAnsi="Verdana"/>
          <w:sz w:val="20"/>
          <w:szCs w:val="20"/>
          <w:lang w:val="es-ES"/>
        </w:rPr>
        <w:t xml:space="preserve">WISG para </w:t>
      </w:r>
      <w:r w:rsidR="00325995" w:rsidRPr="00A23447">
        <w:rPr>
          <w:rFonts w:ascii="Verdana" w:hAnsi="Verdana"/>
          <w:sz w:val="20"/>
          <w:szCs w:val="20"/>
          <w:lang w:val="es-ES"/>
        </w:rPr>
        <w:t>la</w:t>
      </w:r>
      <w:r w:rsidRPr="00A23447">
        <w:rPr>
          <w:rFonts w:ascii="Verdana" w:hAnsi="Verdana"/>
          <w:sz w:val="20"/>
          <w:szCs w:val="20"/>
          <w:lang w:val="es-ES"/>
        </w:rPr>
        <w:t xml:space="preserve"> armonización </w:t>
      </w:r>
      <w:r w:rsidR="00325995" w:rsidRPr="00A23447">
        <w:rPr>
          <w:rFonts w:ascii="Verdana" w:hAnsi="Verdana"/>
          <w:sz w:val="20"/>
          <w:szCs w:val="20"/>
          <w:lang w:val="es-ES"/>
        </w:rPr>
        <w:t>con</w:t>
      </w:r>
      <w:r w:rsidRPr="00A23447">
        <w:rPr>
          <w:rFonts w:ascii="Verdana" w:hAnsi="Verdana"/>
          <w:sz w:val="20"/>
          <w:szCs w:val="20"/>
          <w:lang w:val="es-ES"/>
        </w:rPr>
        <w:t xml:space="preserve"> la nueva escala de referencia, en especial para las principales series temporales climáticas.</w:t>
      </w:r>
    </w:p>
    <w:p w14:paraId="52A5AC9C" w14:textId="5A084E3C" w:rsidR="006B5673" w:rsidRPr="00A23447" w:rsidRDefault="006B5673" w:rsidP="000930FC">
      <w:pPr>
        <w:pStyle w:val="xmsonormal"/>
        <w:shd w:val="clear" w:color="auto" w:fill="FFFFFF"/>
        <w:spacing w:before="240" w:beforeAutospacing="0" w:after="240" w:afterAutospacing="0"/>
        <w:ind w:left="567" w:hanging="567"/>
        <w:rPr>
          <w:rFonts w:ascii="Verdana" w:hAnsi="Verdana" w:cs="Calibri"/>
          <w:color w:val="201F1E"/>
          <w:sz w:val="20"/>
          <w:szCs w:val="20"/>
          <w:lang w:val="es-ES"/>
        </w:rPr>
      </w:pPr>
      <w:r w:rsidRPr="00A23447">
        <w:rPr>
          <w:rFonts w:ascii="Verdana" w:hAnsi="Verdana"/>
          <w:sz w:val="20"/>
          <w:szCs w:val="20"/>
          <w:lang w:val="es-ES"/>
        </w:rPr>
        <w:t>4)</w:t>
      </w:r>
      <w:r w:rsidRPr="00A23447">
        <w:rPr>
          <w:rFonts w:ascii="Verdana" w:hAnsi="Verdana"/>
          <w:sz w:val="20"/>
          <w:szCs w:val="20"/>
          <w:lang w:val="es-ES"/>
        </w:rPr>
        <w:tab/>
        <w:t xml:space="preserve">Dado que la </w:t>
      </w:r>
      <w:r w:rsidR="00E1611B" w:rsidRPr="00A23447">
        <w:rPr>
          <w:rFonts w:ascii="Verdana" w:hAnsi="Verdana"/>
          <w:sz w:val="20"/>
          <w:szCs w:val="20"/>
          <w:lang w:val="es-ES"/>
        </w:rPr>
        <w:t xml:space="preserve">Red de Referencia para la Medición de la Radiación en Superficie </w:t>
      </w:r>
      <w:r w:rsidRPr="00A23447">
        <w:rPr>
          <w:rFonts w:ascii="Verdana" w:hAnsi="Verdana"/>
          <w:sz w:val="20"/>
          <w:szCs w:val="20"/>
          <w:lang w:val="es-ES"/>
        </w:rPr>
        <w:t xml:space="preserve">(BSRN) ha establecido la obligatoriedad del registro de </w:t>
      </w:r>
      <w:r w:rsidR="00412494" w:rsidRPr="00A23447">
        <w:rPr>
          <w:rFonts w:ascii="Verdana" w:hAnsi="Verdana"/>
          <w:sz w:val="20"/>
          <w:szCs w:val="20"/>
          <w:lang w:val="es-ES"/>
        </w:rPr>
        <w:t xml:space="preserve">los </w:t>
      </w:r>
      <w:r w:rsidRPr="00A23447">
        <w:rPr>
          <w:rFonts w:ascii="Verdana" w:hAnsi="Verdana"/>
          <w:sz w:val="20"/>
          <w:szCs w:val="20"/>
          <w:lang w:val="es-ES"/>
        </w:rPr>
        <w:t xml:space="preserve">datos brutos de </w:t>
      </w:r>
      <w:r w:rsidR="00931206" w:rsidRPr="00A23447">
        <w:rPr>
          <w:rFonts w:ascii="Verdana" w:hAnsi="Verdana"/>
          <w:sz w:val="20"/>
          <w:szCs w:val="20"/>
          <w:lang w:val="es-ES"/>
        </w:rPr>
        <w:t xml:space="preserve">los </w:t>
      </w:r>
      <w:proofErr w:type="spellStart"/>
      <w:r w:rsidRPr="00A23447">
        <w:rPr>
          <w:rFonts w:ascii="Verdana" w:hAnsi="Verdana"/>
          <w:sz w:val="20"/>
          <w:szCs w:val="20"/>
          <w:lang w:val="es-ES"/>
        </w:rPr>
        <w:t>pirgeómetro</w:t>
      </w:r>
      <w:r w:rsidR="00412494" w:rsidRPr="00A23447">
        <w:rPr>
          <w:rFonts w:ascii="Verdana" w:hAnsi="Verdana"/>
          <w:sz w:val="20"/>
          <w:szCs w:val="20"/>
          <w:lang w:val="es-ES"/>
        </w:rPr>
        <w:t>s</w:t>
      </w:r>
      <w:proofErr w:type="spellEnd"/>
      <w:r w:rsidRPr="00A23447">
        <w:rPr>
          <w:rFonts w:ascii="Verdana" w:hAnsi="Verdana"/>
          <w:sz w:val="20"/>
          <w:szCs w:val="20"/>
          <w:lang w:val="es-ES"/>
        </w:rPr>
        <w:t xml:space="preserve"> (señal infrarroja neta en voltios y temperatura) mediante el registro lógico LR4000 definido recientemente, deberá determinarse el número de estaciones de la </w:t>
      </w:r>
      <w:r w:rsidR="00C54C69" w:rsidRPr="00A23447">
        <w:rPr>
          <w:rFonts w:ascii="Verdana" w:hAnsi="Verdana"/>
          <w:sz w:val="20"/>
          <w:szCs w:val="20"/>
          <w:lang w:val="es-ES"/>
        </w:rPr>
        <w:t xml:space="preserve">BSRN </w:t>
      </w:r>
      <w:r w:rsidRPr="00A23447">
        <w:rPr>
          <w:rFonts w:ascii="Verdana" w:hAnsi="Verdana"/>
          <w:sz w:val="20"/>
          <w:szCs w:val="20"/>
          <w:lang w:val="es-ES"/>
        </w:rPr>
        <w:t xml:space="preserve">con capacidad </w:t>
      </w:r>
      <w:r w:rsidR="00D94662" w:rsidRPr="00A23447">
        <w:rPr>
          <w:rFonts w:ascii="Verdana" w:hAnsi="Verdana"/>
          <w:sz w:val="20"/>
          <w:szCs w:val="20"/>
          <w:lang w:val="es-ES"/>
        </w:rPr>
        <w:t xml:space="preserve">para </w:t>
      </w:r>
      <w:r w:rsidR="005C6ECA" w:rsidRPr="00A23447">
        <w:rPr>
          <w:rFonts w:ascii="Verdana" w:hAnsi="Verdana"/>
          <w:sz w:val="20"/>
          <w:szCs w:val="20"/>
          <w:lang w:val="es-ES"/>
        </w:rPr>
        <w:t xml:space="preserve">proporcionar </w:t>
      </w:r>
      <w:r w:rsidRPr="00A23447">
        <w:rPr>
          <w:rFonts w:ascii="Verdana" w:hAnsi="Verdana"/>
          <w:sz w:val="20"/>
          <w:szCs w:val="20"/>
          <w:lang w:val="es-ES"/>
        </w:rPr>
        <w:t xml:space="preserve">este tipo de registro para </w:t>
      </w:r>
      <w:r w:rsidR="005C6ECA" w:rsidRPr="00A23447">
        <w:rPr>
          <w:rFonts w:ascii="Verdana" w:hAnsi="Verdana"/>
          <w:sz w:val="20"/>
          <w:szCs w:val="20"/>
          <w:lang w:val="es-ES"/>
        </w:rPr>
        <w:t xml:space="preserve">los </w:t>
      </w:r>
      <w:r w:rsidRPr="00A23447">
        <w:rPr>
          <w:rFonts w:ascii="Verdana" w:hAnsi="Verdana"/>
          <w:sz w:val="20"/>
          <w:szCs w:val="20"/>
          <w:lang w:val="es-ES"/>
        </w:rPr>
        <w:t>datos históricos.</w:t>
      </w:r>
    </w:p>
    <w:p w14:paraId="38DBBD68" w14:textId="77777777" w:rsidR="006B5673" w:rsidRPr="00A23447" w:rsidRDefault="006B5673" w:rsidP="000930FC">
      <w:pPr>
        <w:pStyle w:val="Heading3"/>
        <w:spacing w:after="240"/>
        <w:rPr>
          <w:lang w:val="es-ES"/>
        </w:rPr>
      </w:pPr>
      <w:r w:rsidRPr="00A23447">
        <w:rPr>
          <w:lang w:val="es-ES"/>
        </w:rPr>
        <w:t>Radiación solar</w:t>
      </w:r>
    </w:p>
    <w:p w14:paraId="60FE055D" w14:textId="5E6435FF" w:rsidR="006B5673" w:rsidRPr="00A23447" w:rsidRDefault="006B5673" w:rsidP="000930FC">
      <w:pPr>
        <w:pStyle w:val="xmsonormal"/>
        <w:shd w:val="clear" w:color="auto" w:fill="FFFFFF"/>
        <w:spacing w:before="240" w:beforeAutospacing="0" w:after="240" w:afterAutospacing="0"/>
        <w:ind w:left="567" w:hanging="567"/>
        <w:rPr>
          <w:rFonts w:ascii="Verdana" w:hAnsi="Verdana" w:cs="Calibri"/>
          <w:color w:val="201F1E"/>
          <w:sz w:val="20"/>
          <w:szCs w:val="20"/>
          <w:lang w:val="es-ES"/>
        </w:rPr>
      </w:pPr>
      <w:r w:rsidRPr="00A23447">
        <w:rPr>
          <w:rFonts w:ascii="Verdana" w:hAnsi="Verdana"/>
          <w:sz w:val="20"/>
          <w:szCs w:val="20"/>
          <w:lang w:val="es-ES"/>
        </w:rPr>
        <w:t>1)</w:t>
      </w:r>
      <w:r w:rsidRPr="00A23447">
        <w:rPr>
          <w:rFonts w:ascii="Verdana" w:hAnsi="Verdana"/>
          <w:sz w:val="20"/>
          <w:szCs w:val="20"/>
          <w:lang w:val="es-ES"/>
        </w:rPr>
        <w:tab/>
        <w:t>Se requerirá la caracterización del nuevo instrumento de referencia propuesto (</w:t>
      </w:r>
      <w:r w:rsidR="00C0329E" w:rsidRPr="00A23447">
        <w:rPr>
          <w:rFonts w:ascii="Verdana" w:hAnsi="Verdana"/>
          <w:sz w:val="20"/>
          <w:szCs w:val="20"/>
          <w:lang w:val="es-ES"/>
        </w:rPr>
        <w:t>radiómetro solar criogénico absoluto (CSAR)/monitor de transmitancia integrada (MITRA</w:t>
      </w:r>
      <w:r w:rsidR="0074682A" w:rsidRPr="00A23447">
        <w:rPr>
          <w:rFonts w:ascii="Verdana" w:hAnsi="Verdana"/>
          <w:sz w:val="20"/>
          <w:szCs w:val="20"/>
          <w:lang w:val="es-ES"/>
        </w:rPr>
        <w:t>)</w:t>
      </w:r>
      <w:r w:rsidRPr="00A23447">
        <w:rPr>
          <w:rFonts w:ascii="Verdana" w:hAnsi="Verdana"/>
          <w:sz w:val="20"/>
          <w:szCs w:val="20"/>
          <w:lang w:val="es-ES"/>
        </w:rPr>
        <w:t xml:space="preserve">) y la publicación de su balance de incertidumbre, de preferencia en una publicación revisada por pares </w:t>
      </w:r>
      <w:r w:rsidR="0021745E" w:rsidRPr="00A23447">
        <w:rPr>
          <w:rFonts w:ascii="Verdana" w:hAnsi="Verdana"/>
          <w:sz w:val="20"/>
          <w:szCs w:val="20"/>
          <w:lang w:val="es-ES"/>
        </w:rPr>
        <w:t xml:space="preserve">a fin </w:t>
      </w:r>
      <w:r w:rsidRPr="00A23447">
        <w:rPr>
          <w:rFonts w:ascii="Verdana" w:hAnsi="Verdana"/>
          <w:sz w:val="20"/>
          <w:szCs w:val="20"/>
          <w:lang w:val="es-ES"/>
        </w:rPr>
        <w:t>de evidenci</w:t>
      </w:r>
      <w:r w:rsidR="0021745E" w:rsidRPr="00A23447">
        <w:rPr>
          <w:rFonts w:ascii="Verdana" w:hAnsi="Verdana"/>
          <w:sz w:val="20"/>
          <w:szCs w:val="20"/>
          <w:lang w:val="es-ES"/>
        </w:rPr>
        <w:t>ar</w:t>
      </w:r>
      <w:r w:rsidRPr="00A23447">
        <w:rPr>
          <w:rFonts w:ascii="Verdana" w:hAnsi="Verdana"/>
          <w:sz w:val="20"/>
          <w:szCs w:val="20"/>
          <w:lang w:val="es-ES"/>
        </w:rPr>
        <w:t xml:space="preserve"> su </w:t>
      </w:r>
      <w:r w:rsidR="0021745E" w:rsidRPr="00A23447">
        <w:rPr>
          <w:rFonts w:ascii="Verdana" w:hAnsi="Verdana"/>
          <w:sz w:val="20"/>
          <w:szCs w:val="20"/>
          <w:lang w:val="es-ES"/>
        </w:rPr>
        <w:t xml:space="preserve">desempeño </w:t>
      </w:r>
      <w:r w:rsidRPr="00A23447">
        <w:rPr>
          <w:rFonts w:ascii="Verdana" w:hAnsi="Verdana"/>
          <w:sz w:val="20"/>
          <w:szCs w:val="20"/>
          <w:lang w:val="es-ES"/>
        </w:rPr>
        <w:t>operativo.</w:t>
      </w:r>
    </w:p>
    <w:p w14:paraId="0C209EAC" w14:textId="1AF8E65C" w:rsidR="006B5673" w:rsidRPr="00A23447" w:rsidRDefault="006B5673" w:rsidP="000930FC">
      <w:pPr>
        <w:pStyle w:val="xmsonormal"/>
        <w:shd w:val="clear" w:color="auto" w:fill="FFFFFF"/>
        <w:spacing w:before="240" w:beforeAutospacing="0" w:after="240" w:afterAutospacing="0"/>
        <w:ind w:left="567" w:hanging="567"/>
        <w:rPr>
          <w:rFonts w:ascii="Verdana" w:hAnsi="Verdana" w:cs="Calibri"/>
          <w:color w:val="201F1E"/>
          <w:sz w:val="20"/>
          <w:szCs w:val="20"/>
          <w:lang w:val="es-ES"/>
        </w:rPr>
      </w:pPr>
      <w:r w:rsidRPr="00A23447">
        <w:rPr>
          <w:rFonts w:ascii="Verdana" w:hAnsi="Verdana"/>
          <w:sz w:val="20"/>
          <w:szCs w:val="20"/>
          <w:lang w:val="es-ES"/>
        </w:rPr>
        <w:t>2)</w:t>
      </w:r>
      <w:r w:rsidRPr="00A23447">
        <w:rPr>
          <w:rFonts w:ascii="Verdana" w:hAnsi="Verdana"/>
          <w:sz w:val="20"/>
          <w:szCs w:val="20"/>
          <w:lang w:val="es-ES"/>
        </w:rPr>
        <w:tab/>
        <w:t xml:space="preserve">El nuevo instrumento de referencia para la </w:t>
      </w:r>
      <w:r w:rsidR="0021745E" w:rsidRPr="00A23447">
        <w:rPr>
          <w:rFonts w:ascii="Verdana" w:hAnsi="Verdana"/>
          <w:sz w:val="20"/>
          <w:szCs w:val="20"/>
          <w:lang w:val="es-ES"/>
        </w:rPr>
        <w:t xml:space="preserve">medición de la </w:t>
      </w:r>
      <w:r w:rsidRPr="00A23447">
        <w:rPr>
          <w:rFonts w:ascii="Verdana" w:hAnsi="Verdana"/>
          <w:sz w:val="20"/>
          <w:szCs w:val="20"/>
          <w:lang w:val="es-ES"/>
        </w:rPr>
        <w:t>irradia</w:t>
      </w:r>
      <w:r w:rsidR="00FD120F" w:rsidRPr="00A23447">
        <w:rPr>
          <w:rFonts w:ascii="Verdana" w:hAnsi="Verdana"/>
          <w:sz w:val="20"/>
          <w:szCs w:val="20"/>
          <w:lang w:val="es-ES"/>
        </w:rPr>
        <w:t>nci</w:t>
      </w:r>
      <w:bookmarkStart w:id="8" w:name="_GoBack"/>
      <w:bookmarkEnd w:id="8"/>
      <w:r w:rsidR="00FD120F" w:rsidRPr="00A23447">
        <w:rPr>
          <w:rFonts w:ascii="Verdana" w:hAnsi="Verdana"/>
          <w:sz w:val="20"/>
          <w:szCs w:val="20"/>
          <w:lang w:val="es-ES"/>
        </w:rPr>
        <w:t xml:space="preserve">a </w:t>
      </w:r>
      <w:r w:rsidRPr="00A23447">
        <w:rPr>
          <w:rFonts w:ascii="Verdana" w:hAnsi="Verdana"/>
          <w:sz w:val="20"/>
          <w:szCs w:val="20"/>
          <w:lang w:val="es-ES"/>
        </w:rPr>
        <w:t xml:space="preserve">solar propuesto deberá haber sido </w:t>
      </w:r>
      <w:r w:rsidR="003C44BE" w:rsidRPr="00A23447">
        <w:rPr>
          <w:rFonts w:ascii="Verdana" w:hAnsi="Verdana"/>
          <w:sz w:val="20"/>
          <w:szCs w:val="20"/>
          <w:lang w:val="es-ES"/>
        </w:rPr>
        <w:t xml:space="preserve">objeto de una </w:t>
      </w:r>
      <w:r w:rsidRPr="00A23447">
        <w:rPr>
          <w:rFonts w:ascii="Verdana" w:hAnsi="Verdana"/>
          <w:sz w:val="20"/>
          <w:szCs w:val="20"/>
          <w:lang w:val="es-ES"/>
        </w:rPr>
        <w:t>compara</w:t>
      </w:r>
      <w:r w:rsidR="003C44BE" w:rsidRPr="00A23447">
        <w:rPr>
          <w:rFonts w:ascii="Verdana" w:hAnsi="Verdana"/>
          <w:sz w:val="20"/>
          <w:szCs w:val="20"/>
          <w:lang w:val="es-ES"/>
        </w:rPr>
        <w:t xml:space="preserve">ción </w:t>
      </w:r>
      <w:r w:rsidRPr="00A23447">
        <w:rPr>
          <w:rFonts w:ascii="Verdana" w:hAnsi="Verdana"/>
          <w:sz w:val="20"/>
          <w:szCs w:val="20"/>
          <w:lang w:val="es-ES"/>
        </w:rPr>
        <w:t xml:space="preserve">bilateral con otro radiómetro criogénico de un </w:t>
      </w:r>
      <w:r w:rsidR="003C44BE" w:rsidRPr="00A23447">
        <w:rPr>
          <w:rFonts w:ascii="Verdana" w:hAnsi="Verdana"/>
          <w:sz w:val="20"/>
          <w:szCs w:val="20"/>
          <w:lang w:val="es-ES"/>
        </w:rPr>
        <w:t>i</w:t>
      </w:r>
      <w:r w:rsidRPr="00A23447">
        <w:rPr>
          <w:rFonts w:ascii="Verdana" w:hAnsi="Verdana"/>
          <w:sz w:val="20"/>
          <w:szCs w:val="20"/>
          <w:lang w:val="es-ES"/>
        </w:rPr>
        <w:t xml:space="preserve">nstituto </w:t>
      </w:r>
      <w:r w:rsidR="003C44BE" w:rsidRPr="00A23447">
        <w:rPr>
          <w:rFonts w:ascii="Verdana" w:hAnsi="Verdana"/>
          <w:sz w:val="20"/>
          <w:szCs w:val="20"/>
          <w:lang w:val="es-ES"/>
        </w:rPr>
        <w:t>n</w:t>
      </w:r>
      <w:r w:rsidRPr="00A23447">
        <w:rPr>
          <w:rFonts w:ascii="Verdana" w:hAnsi="Verdana"/>
          <w:sz w:val="20"/>
          <w:szCs w:val="20"/>
          <w:lang w:val="es-ES"/>
        </w:rPr>
        <w:t xml:space="preserve">acional de </w:t>
      </w:r>
      <w:r w:rsidR="00E0485B" w:rsidRPr="00A23447">
        <w:rPr>
          <w:rFonts w:ascii="Verdana" w:hAnsi="Verdana"/>
          <w:sz w:val="20"/>
          <w:szCs w:val="20"/>
          <w:lang w:val="es-ES"/>
        </w:rPr>
        <w:t>m</w:t>
      </w:r>
      <w:r w:rsidRPr="00A23447">
        <w:rPr>
          <w:rFonts w:ascii="Verdana" w:hAnsi="Verdana"/>
          <w:sz w:val="20"/>
          <w:szCs w:val="20"/>
          <w:lang w:val="es-ES"/>
        </w:rPr>
        <w:t xml:space="preserve">etrología con CMC para la sensibilidad espectral, y los resultados de la comparación </w:t>
      </w:r>
      <w:r w:rsidR="0068166C" w:rsidRPr="00A23447">
        <w:rPr>
          <w:rFonts w:ascii="Verdana" w:hAnsi="Verdana"/>
          <w:sz w:val="20"/>
          <w:szCs w:val="20"/>
          <w:lang w:val="es-ES"/>
        </w:rPr>
        <w:t xml:space="preserve">se tendrán que </w:t>
      </w:r>
      <w:r w:rsidRPr="00A23447">
        <w:rPr>
          <w:rFonts w:ascii="Verdana" w:hAnsi="Verdana"/>
          <w:sz w:val="20"/>
          <w:szCs w:val="20"/>
          <w:lang w:val="es-ES"/>
        </w:rPr>
        <w:t>haber publicado.</w:t>
      </w:r>
    </w:p>
    <w:p w14:paraId="5A73F6D0" w14:textId="7C12C68A" w:rsidR="006B5673" w:rsidRPr="00A23447" w:rsidRDefault="006B5673" w:rsidP="000930FC">
      <w:pPr>
        <w:pStyle w:val="xmsonormal"/>
        <w:shd w:val="clear" w:color="auto" w:fill="FFFFFF"/>
        <w:spacing w:before="240" w:beforeAutospacing="0" w:after="240" w:afterAutospacing="0"/>
        <w:ind w:left="567" w:hanging="567"/>
        <w:rPr>
          <w:rFonts w:ascii="Verdana" w:hAnsi="Verdana" w:cs="Calibri"/>
          <w:color w:val="201F1E"/>
          <w:sz w:val="20"/>
          <w:szCs w:val="20"/>
          <w:lang w:val="es-ES"/>
        </w:rPr>
      </w:pPr>
      <w:r w:rsidRPr="00A23447">
        <w:rPr>
          <w:rFonts w:ascii="Verdana" w:hAnsi="Verdana"/>
          <w:sz w:val="20"/>
          <w:szCs w:val="20"/>
          <w:lang w:val="es-ES"/>
        </w:rPr>
        <w:t>3)</w:t>
      </w:r>
      <w:r w:rsidRPr="00A23447">
        <w:rPr>
          <w:rFonts w:ascii="Verdana" w:hAnsi="Verdana"/>
          <w:sz w:val="20"/>
          <w:szCs w:val="20"/>
          <w:lang w:val="es-ES"/>
        </w:rPr>
        <w:tab/>
        <w:t>Deberá seguir empleándose un grupo patrón de radiómetros de cavidad ambiental, similar al actual Grupo Mundial de Instrumentos Patrón (</w:t>
      </w:r>
      <w:r w:rsidR="005850D5" w:rsidRPr="00A23447">
        <w:rPr>
          <w:rFonts w:ascii="Verdana" w:hAnsi="Verdana"/>
          <w:sz w:val="20"/>
          <w:szCs w:val="20"/>
          <w:lang w:val="es-ES"/>
        </w:rPr>
        <w:t>WSG</w:t>
      </w:r>
      <w:r w:rsidRPr="00A23447">
        <w:rPr>
          <w:rFonts w:ascii="Verdana" w:hAnsi="Verdana"/>
          <w:sz w:val="20"/>
          <w:szCs w:val="20"/>
          <w:lang w:val="es-ES"/>
        </w:rPr>
        <w:t>), como principal patrón de transferencia.</w:t>
      </w:r>
    </w:p>
    <w:p w14:paraId="2F864F30" w14:textId="048DBB71" w:rsidR="00D82DC4" w:rsidRPr="00A23447" w:rsidRDefault="006B5673" w:rsidP="00D82DC4">
      <w:pPr>
        <w:pStyle w:val="xmsonormal"/>
        <w:shd w:val="clear" w:color="auto" w:fill="FFFFFF"/>
        <w:spacing w:before="240" w:beforeAutospacing="0" w:after="240" w:afterAutospacing="0"/>
        <w:ind w:left="567" w:hanging="567"/>
        <w:rPr>
          <w:rFonts w:ascii="Verdana" w:hAnsi="Verdana"/>
          <w:sz w:val="20"/>
          <w:szCs w:val="20"/>
          <w:lang w:val="es-ES"/>
        </w:rPr>
      </w:pPr>
      <w:r w:rsidRPr="00A23447">
        <w:rPr>
          <w:rFonts w:ascii="Verdana" w:hAnsi="Verdana"/>
          <w:sz w:val="20"/>
          <w:szCs w:val="20"/>
          <w:lang w:val="es-ES"/>
        </w:rPr>
        <w:t>4)</w:t>
      </w:r>
      <w:r w:rsidRPr="00A23447">
        <w:rPr>
          <w:rFonts w:ascii="Verdana" w:hAnsi="Verdana"/>
          <w:sz w:val="20"/>
          <w:szCs w:val="20"/>
          <w:lang w:val="es-ES"/>
        </w:rPr>
        <w:tab/>
        <w:t xml:space="preserve">Se deberá disponer de procedimientos para la corrección de </w:t>
      </w:r>
      <w:r w:rsidR="00BE56ED" w:rsidRPr="00A23447">
        <w:rPr>
          <w:rFonts w:ascii="Verdana" w:hAnsi="Verdana"/>
          <w:sz w:val="20"/>
          <w:szCs w:val="20"/>
          <w:lang w:val="es-ES"/>
        </w:rPr>
        <w:t xml:space="preserve">los </w:t>
      </w:r>
      <w:r w:rsidRPr="00A23447">
        <w:rPr>
          <w:rFonts w:ascii="Verdana" w:hAnsi="Verdana"/>
          <w:sz w:val="20"/>
          <w:szCs w:val="20"/>
          <w:lang w:val="es-ES"/>
        </w:rPr>
        <w:t>datos de medici</w:t>
      </w:r>
      <w:r w:rsidR="00E725E9" w:rsidRPr="00A23447">
        <w:rPr>
          <w:rFonts w:ascii="Verdana" w:hAnsi="Verdana"/>
          <w:sz w:val="20"/>
          <w:szCs w:val="20"/>
          <w:lang w:val="es-ES"/>
        </w:rPr>
        <w:t>ó</w:t>
      </w:r>
      <w:r w:rsidRPr="00A23447">
        <w:rPr>
          <w:rFonts w:ascii="Verdana" w:hAnsi="Verdana"/>
          <w:sz w:val="20"/>
          <w:szCs w:val="20"/>
          <w:lang w:val="es-ES"/>
        </w:rPr>
        <w:t xml:space="preserve">n </w:t>
      </w:r>
      <w:r w:rsidR="00136A1F" w:rsidRPr="00A23447">
        <w:rPr>
          <w:rFonts w:ascii="Verdana" w:hAnsi="Verdana"/>
          <w:sz w:val="20"/>
          <w:szCs w:val="20"/>
          <w:lang w:val="es-ES"/>
        </w:rPr>
        <w:t xml:space="preserve">trazables con respecto </w:t>
      </w:r>
      <w:r w:rsidR="004D6DE3" w:rsidRPr="00A23447">
        <w:rPr>
          <w:rFonts w:ascii="Verdana" w:hAnsi="Verdana"/>
          <w:sz w:val="20"/>
          <w:szCs w:val="20"/>
          <w:lang w:val="es-ES"/>
        </w:rPr>
        <w:t xml:space="preserve">a </w:t>
      </w:r>
      <w:r w:rsidRPr="00A23447">
        <w:rPr>
          <w:rFonts w:ascii="Verdana" w:hAnsi="Verdana"/>
          <w:sz w:val="20"/>
          <w:szCs w:val="20"/>
          <w:lang w:val="es-ES"/>
        </w:rPr>
        <w:t xml:space="preserve">la </w:t>
      </w:r>
      <w:r w:rsidR="00CB0752" w:rsidRPr="00A23447">
        <w:rPr>
          <w:rFonts w:ascii="Verdana" w:hAnsi="Verdana"/>
          <w:sz w:val="20"/>
          <w:szCs w:val="20"/>
          <w:lang w:val="es-ES"/>
        </w:rPr>
        <w:t xml:space="preserve">actual </w:t>
      </w:r>
      <w:r w:rsidRPr="00A23447">
        <w:rPr>
          <w:rFonts w:ascii="Verdana" w:hAnsi="Verdana"/>
          <w:sz w:val="20"/>
          <w:szCs w:val="20"/>
          <w:lang w:val="es-ES"/>
        </w:rPr>
        <w:t>Referencia Radiométrica Mundial</w:t>
      </w:r>
      <w:r w:rsidR="00C86826" w:rsidRPr="00A23447">
        <w:rPr>
          <w:rFonts w:ascii="Verdana" w:hAnsi="Verdana"/>
          <w:sz w:val="20"/>
          <w:szCs w:val="20"/>
          <w:lang w:val="es-ES"/>
        </w:rPr>
        <w:t xml:space="preserve"> (RRM)</w:t>
      </w:r>
      <w:r w:rsidRPr="00A23447">
        <w:rPr>
          <w:rFonts w:ascii="Verdana" w:hAnsi="Verdana"/>
          <w:sz w:val="20"/>
          <w:szCs w:val="20"/>
          <w:lang w:val="es-ES"/>
        </w:rPr>
        <w:t xml:space="preserve"> para la armonización de </w:t>
      </w:r>
      <w:r w:rsidR="00314231" w:rsidRPr="00A23447">
        <w:rPr>
          <w:rFonts w:ascii="Verdana" w:hAnsi="Verdana"/>
          <w:sz w:val="20"/>
          <w:szCs w:val="20"/>
          <w:lang w:val="es-ES"/>
        </w:rPr>
        <w:t xml:space="preserve">las </w:t>
      </w:r>
      <w:r w:rsidRPr="00A23447">
        <w:rPr>
          <w:rFonts w:ascii="Verdana" w:hAnsi="Verdana"/>
          <w:sz w:val="20"/>
          <w:szCs w:val="20"/>
          <w:lang w:val="es-ES"/>
        </w:rPr>
        <w:t xml:space="preserve">series de datos históricos </w:t>
      </w:r>
      <w:r w:rsidR="00314231" w:rsidRPr="00A23447">
        <w:rPr>
          <w:rFonts w:ascii="Verdana" w:hAnsi="Verdana"/>
          <w:sz w:val="20"/>
          <w:szCs w:val="20"/>
          <w:lang w:val="es-ES"/>
        </w:rPr>
        <w:t>con</w:t>
      </w:r>
      <w:r w:rsidRPr="00A23447">
        <w:rPr>
          <w:rFonts w:ascii="Verdana" w:hAnsi="Verdana"/>
          <w:sz w:val="20"/>
          <w:szCs w:val="20"/>
          <w:lang w:val="es-ES"/>
        </w:rPr>
        <w:t xml:space="preserve"> la nueva escala de referencia, en especial para las principales series temporales climáticas.</w:t>
      </w:r>
    </w:p>
    <w:p w14:paraId="076AB815" w14:textId="533FB60D" w:rsidR="00A80767" w:rsidRPr="00A23447" w:rsidRDefault="00A80767" w:rsidP="00D82DC4">
      <w:pPr>
        <w:pStyle w:val="xmsonormal"/>
        <w:shd w:val="clear" w:color="auto" w:fill="FFFFFF"/>
        <w:spacing w:before="240" w:beforeAutospacing="0" w:after="240" w:afterAutospacing="0"/>
        <w:ind w:left="567" w:hanging="567"/>
        <w:jc w:val="center"/>
        <w:rPr>
          <w:rFonts w:ascii="Verdana" w:hAnsi="Verdana" w:cs="Calibri"/>
          <w:color w:val="201F1E"/>
          <w:sz w:val="20"/>
          <w:szCs w:val="20"/>
          <w:lang w:val="es-ES"/>
        </w:rPr>
      </w:pPr>
      <w:r w:rsidRPr="00A23447">
        <w:rPr>
          <w:rFonts w:ascii="Verdana" w:hAnsi="Verdana"/>
          <w:sz w:val="20"/>
          <w:szCs w:val="20"/>
          <w:lang w:val="es-ES"/>
        </w:rPr>
        <w:t>__________</w:t>
      </w:r>
      <w:bookmarkEnd w:id="0"/>
      <w:r w:rsidR="00924DDF">
        <w:rPr>
          <w:rFonts w:ascii="Verdana" w:hAnsi="Verdana"/>
          <w:sz w:val="20"/>
          <w:szCs w:val="20"/>
          <w:lang w:val="es-ES"/>
        </w:rPr>
        <w:t>____</w:t>
      </w:r>
    </w:p>
    <w:sectPr w:rsidR="00A80767" w:rsidRPr="00A23447" w:rsidSect="0020095E">
      <w:headerReference w:type="even" r:id="rId13"/>
      <w:headerReference w:type="default" r:id="rId14"/>
      <w:headerReference w:type="first" r:id="rId15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41682" w14:textId="77777777" w:rsidR="00144427" w:rsidRDefault="00144427">
      <w:r>
        <w:separator/>
      </w:r>
    </w:p>
    <w:p w14:paraId="0BB04296" w14:textId="77777777" w:rsidR="00144427" w:rsidRDefault="00144427"/>
    <w:p w14:paraId="03F7214E" w14:textId="77777777" w:rsidR="00144427" w:rsidRDefault="00144427"/>
  </w:endnote>
  <w:endnote w:type="continuationSeparator" w:id="0">
    <w:p w14:paraId="3EF23653" w14:textId="77777777" w:rsidR="00144427" w:rsidRDefault="00144427">
      <w:r>
        <w:continuationSeparator/>
      </w:r>
    </w:p>
    <w:p w14:paraId="6D1AE165" w14:textId="77777777" w:rsidR="00144427" w:rsidRDefault="00144427"/>
    <w:p w14:paraId="3B45D854" w14:textId="77777777" w:rsidR="00144427" w:rsidRDefault="00144427"/>
  </w:endnote>
  <w:endnote w:type="continuationNotice" w:id="1">
    <w:p w14:paraId="79166175" w14:textId="77777777" w:rsidR="00144427" w:rsidRDefault="00144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BF92B" w14:textId="77777777" w:rsidR="00144427" w:rsidRDefault="00144427">
      <w:r>
        <w:separator/>
      </w:r>
    </w:p>
  </w:footnote>
  <w:footnote w:type="continuationSeparator" w:id="0">
    <w:p w14:paraId="5A60A848" w14:textId="77777777" w:rsidR="00144427" w:rsidRDefault="00144427">
      <w:r>
        <w:continuationSeparator/>
      </w:r>
    </w:p>
    <w:p w14:paraId="4924B5F6" w14:textId="77777777" w:rsidR="00144427" w:rsidRDefault="00144427"/>
    <w:p w14:paraId="2065761C" w14:textId="77777777" w:rsidR="00144427" w:rsidRDefault="00144427"/>
  </w:footnote>
  <w:footnote w:type="continuationNotice" w:id="1">
    <w:p w14:paraId="58167A8C" w14:textId="77777777" w:rsidR="00144427" w:rsidRDefault="00144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E4EEB" w14:textId="22C1DB20" w:rsidR="00A97B2C" w:rsidRDefault="00AA73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D06F1AC" wp14:editId="4FF2700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Rectangle 1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5E5EE986" id="Rectangle 11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0" allowOverlap="1" wp14:anchorId="5E721CD6" wp14:editId="41F9FBC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340" cy="16637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" cy="16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76438C" w14:textId="77777777" w:rsidR="00911A2B" w:rsidRDefault="00911A2B"/>
  <w:p w14:paraId="240A11DA" w14:textId="5541FAAC" w:rsidR="00A97B2C" w:rsidRDefault="00AA73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AC93746" wp14:editId="1F77E2B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Rectangle 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633A0B55" id="Rectangle 9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0" allowOverlap="1" wp14:anchorId="745A6A18" wp14:editId="6F062AB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340" cy="16637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" cy="16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B9051" w14:textId="77777777" w:rsidR="00911A2B" w:rsidRDefault="00911A2B"/>
  <w:p w14:paraId="20BC4F24" w14:textId="6ECEFE40" w:rsidR="00A97B2C" w:rsidRDefault="00AA73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A5099D" wp14:editId="19445D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Rectangle 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1E90F7E1" id="Rectangle 7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0" allowOverlap="1" wp14:anchorId="156E9F49" wp14:editId="510D257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340" cy="166370"/>
          <wp:effectExtent l="0" t="0" r="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" cy="16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4C288" w14:textId="65349249" w:rsidR="00A432CD" w:rsidRDefault="00CE6C00" w:rsidP="00B72444">
    <w:pPr>
      <w:pStyle w:val="Header"/>
    </w:pPr>
    <w:r>
      <w:t>EC-76/Doc. 3.2(15)</w:t>
    </w:r>
    <w:r w:rsidR="00A432CD" w:rsidRPr="00C2459D">
      <w:t xml:space="preserve">, </w:t>
    </w:r>
    <w:r w:rsidR="00E72979">
      <w:t>VERSIÓN</w:t>
    </w:r>
    <w:r w:rsidR="00A432CD" w:rsidRPr="00C2459D">
      <w:t xml:space="preserve"> 1, p. </w:t>
    </w:r>
    <w:r w:rsidR="00A432CD" w:rsidRPr="00C2459D">
      <w:rPr>
        <w:rStyle w:val="PageNumber"/>
      </w:rPr>
      <w:fldChar w:fldCharType="begin"/>
    </w:r>
    <w:r w:rsidR="00A432CD" w:rsidRPr="00C2459D">
      <w:rPr>
        <w:rStyle w:val="PageNumber"/>
      </w:rPr>
      <w:instrText xml:space="preserve"> PAGE </w:instrText>
    </w:r>
    <w:r w:rsidR="00A432CD" w:rsidRPr="00C2459D">
      <w:rPr>
        <w:rStyle w:val="PageNumber"/>
      </w:rPr>
      <w:fldChar w:fldCharType="separate"/>
    </w:r>
    <w:r w:rsidR="00A432CD">
      <w:rPr>
        <w:rStyle w:val="PageNumber"/>
        <w:noProof/>
      </w:rPr>
      <w:t>6</w:t>
    </w:r>
    <w:r w:rsidR="00A432CD" w:rsidRPr="00C2459D">
      <w:rPr>
        <w:rStyle w:val="PageNumber"/>
      </w:rPr>
      <w:fldChar w:fldCharType="end"/>
    </w:r>
    <w:r w:rsidR="00AA732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E15F6D" wp14:editId="145F7F9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" name="Rectangle 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51BBB6E3" id="Rectangle 5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A732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1E722" wp14:editId="76B9D7E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Rectangle 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6F8B8AB" id="Rectangle 4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0872D" w14:textId="4B61ECC3" w:rsidR="00A97B2C" w:rsidRDefault="00AA732F" w:rsidP="00B43FCA">
    <w:pPr>
      <w:pStyle w:val="Header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B5059D" wp14:editId="4B27A7E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Rectangl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547350E3" id="Rectangl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D0778C" wp14:editId="50D4B04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Rectangl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789D26D" id="Rectangl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62A1E7D"/>
    <w:multiLevelType w:val="hybridMultilevel"/>
    <w:tmpl w:val="C2D86E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5"/>
  </w:num>
  <w:num w:numId="3">
    <w:abstractNumId w:val="28"/>
  </w:num>
  <w:num w:numId="4">
    <w:abstractNumId w:val="37"/>
  </w:num>
  <w:num w:numId="5">
    <w:abstractNumId w:val="18"/>
  </w:num>
  <w:num w:numId="6">
    <w:abstractNumId w:val="23"/>
  </w:num>
  <w:num w:numId="7">
    <w:abstractNumId w:val="19"/>
  </w:num>
  <w:num w:numId="8">
    <w:abstractNumId w:val="31"/>
  </w:num>
  <w:num w:numId="9">
    <w:abstractNumId w:val="22"/>
  </w:num>
  <w:num w:numId="10">
    <w:abstractNumId w:val="21"/>
  </w:num>
  <w:num w:numId="11">
    <w:abstractNumId w:val="36"/>
  </w:num>
  <w:num w:numId="12">
    <w:abstractNumId w:val="12"/>
  </w:num>
  <w:num w:numId="13">
    <w:abstractNumId w:val="26"/>
  </w:num>
  <w:num w:numId="14">
    <w:abstractNumId w:val="41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3"/>
  </w:num>
  <w:num w:numId="27">
    <w:abstractNumId w:val="32"/>
  </w:num>
  <w:num w:numId="28">
    <w:abstractNumId w:val="24"/>
  </w:num>
  <w:num w:numId="29">
    <w:abstractNumId w:val="33"/>
  </w:num>
  <w:num w:numId="30">
    <w:abstractNumId w:val="34"/>
  </w:num>
  <w:num w:numId="31">
    <w:abstractNumId w:val="15"/>
  </w:num>
  <w:num w:numId="32">
    <w:abstractNumId w:val="40"/>
  </w:num>
  <w:num w:numId="33">
    <w:abstractNumId w:val="38"/>
  </w:num>
  <w:num w:numId="34">
    <w:abstractNumId w:val="25"/>
  </w:num>
  <w:num w:numId="35">
    <w:abstractNumId w:val="27"/>
  </w:num>
  <w:num w:numId="36">
    <w:abstractNumId w:val="44"/>
  </w:num>
  <w:num w:numId="37">
    <w:abstractNumId w:val="35"/>
  </w:num>
  <w:num w:numId="38">
    <w:abstractNumId w:val="13"/>
  </w:num>
  <w:num w:numId="39">
    <w:abstractNumId w:val="14"/>
  </w:num>
  <w:num w:numId="40">
    <w:abstractNumId w:val="16"/>
  </w:num>
  <w:num w:numId="41">
    <w:abstractNumId w:val="10"/>
  </w:num>
  <w:num w:numId="42">
    <w:abstractNumId w:val="42"/>
  </w:num>
  <w:num w:numId="43">
    <w:abstractNumId w:val="17"/>
  </w:num>
  <w:num w:numId="44">
    <w:abstractNumId w:val="29"/>
  </w:num>
  <w:num w:numId="45">
    <w:abstractNumId w:val="3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00"/>
    <w:rsid w:val="00005301"/>
    <w:rsid w:val="000133EE"/>
    <w:rsid w:val="000138B0"/>
    <w:rsid w:val="000206A8"/>
    <w:rsid w:val="00027205"/>
    <w:rsid w:val="00030D81"/>
    <w:rsid w:val="0003137A"/>
    <w:rsid w:val="00041171"/>
    <w:rsid w:val="00041727"/>
    <w:rsid w:val="0004226F"/>
    <w:rsid w:val="00050F8E"/>
    <w:rsid w:val="000518BB"/>
    <w:rsid w:val="00054DBC"/>
    <w:rsid w:val="0005562A"/>
    <w:rsid w:val="00056FD4"/>
    <w:rsid w:val="000573AD"/>
    <w:rsid w:val="0006123B"/>
    <w:rsid w:val="00064F6B"/>
    <w:rsid w:val="00072F17"/>
    <w:rsid w:val="000731AA"/>
    <w:rsid w:val="000806D8"/>
    <w:rsid w:val="00082C80"/>
    <w:rsid w:val="00083847"/>
    <w:rsid w:val="00083C36"/>
    <w:rsid w:val="00084D58"/>
    <w:rsid w:val="00085907"/>
    <w:rsid w:val="00087DE9"/>
    <w:rsid w:val="00092CAE"/>
    <w:rsid w:val="000930FC"/>
    <w:rsid w:val="00095E48"/>
    <w:rsid w:val="000A4F1C"/>
    <w:rsid w:val="000A69BF"/>
    <w:rsid w:val="000B7158"/>
    <w:rsid w:val="000C225A"/>
    <w:rsid w:val="000C312A"/>
    <w:rsid w:val="000C6781"/>
    <w:rsid w:val="000D05A5"/>
    <w:rsid w:val="000D0753"/>
    <w:rsid w:val="000F5E49"/>
    <w:rsid w:val="000F7A87"/>
    <w:rsid w:val="00102EAE"/>
    <w:rsid w:val="001047DC"/>
    <w:rsid w:val="00105D2E"/>
    <w:rsid w:val="0010604A"/>
    <w:rsid w:val="00111BFD"/>
    <w:rsid w:val="0011498B"/>
    <w:rsid w:val="00117CCE"/>
    <w:rsid w:val="00120147"/>
    <w:rsid w:val="00123140"/>
    <w:rsid w:val="00123D94"/>
    <w:rsid w:val="00130BBC"/>
    <w:rsid w:val="00133D13"/>
    <w:rsid w:val="00136A1F"/>
    <w:rsid w:val="0014185A"/>
    <w:rsid w:val="00144427"/>
    <w:rsid w:val="00150DBD"/>
    <w:rsid w:val="00151118"/>
    <w:rsid w:val="00154EF7"/>
    <w:rsid w:val="00156F9B"/>
    <w:rsid w:val="00163BA3"/>
    <w:rsid w:val="00165678"/>
    <w:rsid w:val="00166B31"/>
    <w:rsid w:val="00167D54"/>
    <w:rsid w:val="00176AB5"/>
    <w:rsid w:val="00180771"/>
    <w:rsid w:val="00190854"/>
    <w:rsid w:val="001930A3"/>
    <w:rsid w:val="00196EB8"/>
    <w:rsid w:val="001A25F0"/>
    <w:rsid w:val="001A341E"/>
    <w:rsid w:val="001B0EA6"/>
    <w:rsid w:val="001B1CDF"/>
    <w:rsid w:val="001B2EC4"/>
    <w:rsid w:val="001B56F4"/>
    <w:rsid w:val="001B785F"/>
    <w:rsid w:val="001C5462"/>
    <w:rsid w:val="001C5C73"/>
    <w:rsid w:val="001D265C"/>
    <w:rsid w:val="001D3062"/>
    <w:rsid w:val="001D3CFB"/>
    <w:rsid w:val="001D559B"/>
    <w:rsid w:val="001D6302"/>
    <w:rsid w:val="001E2C22"/>
    <w:rsid w:val="001E616C"/>
    <w:rsid w:val="001E6E6F"/>
    <w:rsid w:val="001E740C"/>
    <w:rsid w:val="001E7DD0"/>
    <w:rsid w:val="001F1BDA"/>
    <w:rsid w:val="0020095E"/>
    <w:rsid w:val="00210BFE"/>
    <w:rsid w:val="00210D30"/>
    <w:rsid w:val="00216E3C"/>
    <w:rsid w:val="0021745E"/>
    <w:rsid w:val="002204FD"/>
    <w:rsid w:val="00221020"/>
    <w:rsid w:val="00227029"/>
    <w:rsid w:val="002308B5"/>
    <w:rsid w:val="00233C0B"/>
    <w:rsid w:val="00234A34"/>
    <w:rsid w:val="00241914"/>
    <w:rsid w:val="0025255D"/>
    <w:rsid w:val="00255EE3"/>
    <w:rsid w:val="00256B3D"/>
    <w:rsid w:val="0026743C"/>
    <w:rsid w:val="00270480"/>
    <w:rsid w:val="00272D34"/>
    <w:rsid w:val="002779AF"/>
    <w:rsid w:val="002823D8"/>
    <w:rsid w:val="0028531A"/>
    <w:rsid w:val="00285446"/>
    <w:rsid w:val="00290082"/>
    <w:rsid w:val="00295593"/>
    <w:rsid w:val="002A354F"/>
    <w:rsid w:val="002A386C"/>
    <w:rsid w:val="002A38ED"/>
    <w:rsid w:val="002B09DF"/>
    <w:rsid w:val="002B540D"/>
    <w:rsid w:val="002B6E16"/>
    <w:rsid w:val="002B7A7E"/>
    <w:rsid w:val="002C0B59"/>
    <w:rsid w:val="002C30BC"/>
    <w:rsid w:val="002C5965"/>
    <w:rsid w:val="002C5E15"/>
    <w:rsid w:val="002C7A88"/>
    <w:rsid w:val="002C7AB9"/>
    <w:rsid w:val="002D232B"/>
    <w:rsid w:val="002D2759"/>
    <w:rsid w:val="002D5E00"/>
    <w:rsid w:val="002D6DAC"/>
    <w:rsid w:val="002E261D"/>
    <w:rsid w:val="002E3FAD"/>
    <w:rsid w:val="002E4E16"/>
    <w:rsid w:val="002F65A1"/>
    <w:rsid w:val="002F6DAC"/>
    <w:rsid w:val="00301E8C"/>
    <w:rsid w:val="00305650"/>
    <w:rsid w:val="00307DDD"/>
    <w:rsid w:val="003107EA"/>
    <w:rsid w:val="00314231"/>
    <w:rsid w:val="003143C9"/>
    <w:rsid w:val="003146E9"/>
    <w:rsid w:val="00314D5D"/>
    <w:rsid w:val="003177C7"/>
    <w:rsid w:val="00320009"/>
    <w:rsid w:val="0032424A"/>
    <w:rsid w:val="003245D3"/>
    <w:rsid w:val="00325995"/>
    <w:rsid w:val="00330AA3"/>
    <w:rsid w:val="00331584"/>
    <w:rsid w:val="00331964"/>
    <w:rsid w:val="00334987"/>
    <w:rsid w:val="00337297"/>
    <w:rsid w:val="00340C69"/>
    <w:rsid w:val="00342E34"/>
    <w:rsid w:val="0035004A"/>
    <w:rsid w:val="00364F1E"/>
    <w:rsid w:val="00371CF1"/>
    <w:rsid w:val="0037222D"/>
    <w:rsid w:val="00373128"/>
    <w:rsid w:val="003750C1"/>
    <w:rsid w:val="0038051E"/>
    <w:rsid w:val="00380AF7"/>
    <w:rsid w:val="00394A05"/>
    <w:rsid w:val="00397770"/>
    <w:rsid w:val="00397880"/>
    <w:rsid w:val="003A4C19"/>
    <w:rsid w:val="003A7016"/>
    <w:rsid w:val="003B0C08"/>
    <w:rsid w:val="003C17A5"/>
    <w:rsid w:val="003C1843"/>
    <w:rsid w:val="003C44BE"/>
    <w:rsid w:val="003C74C0"/>
    <w:rsid w:val="003D1552"/>
    <w:rsid w:val="003E381F"/>
    <w:rsid w:val="003E4046"/>
    <w:rsid w:val="003E60DD"/>
    <w:rsid w:val="003F003A"/>
    <w:rsid w:val="003F125B"/>
    <w:rsid w:val="003F7B3F"/>
    <w:rsid w:val="004058AD"/>
    <w:rsid w:val="0041078D"/>
    <w:rsid w:val="00412494"/>
    <w:rsid w:val="00416F39"/>
    <w:rsid w:val="00416F97"/>
    <w:rsid w:val="00425173"/>
    <w:rsid w:val="0043039B"/>
    <w:rsid w:val="00436197"/>
    <w:rsid w:val="00441788"/>
    <w:rsid w:val="004423FE"/>
    <w:rsid w:val="00445C35"/>
    <w:rsid w:val="00454B41"/>
    <w:rsid w:val="0045663A"/>
    <w:rsid w:val="00457C09"/>
    <w:rsid w:val="0046344E"/>
    <w:rsid w:val="004650A2"/>
    <w:rsid w:val="004667E7"/>
    <w:rsid w:val="004672CF"/>
    <w:rsid w:val="00470DEF"/>
    <w:rsid w:val="004725D2"/>
    <w:rsid w:val="00475797"/>
    <w:rsid w:val="00476D0A"/>
    <w:rsid w:val="00491024"/>
    <w:rsid w:val="00491FD2"/>
    <w:rsid w:val="0049253B"/>
    <w:rsid w:val="004A140B"/>
    <w:rsid w:val="004A4B47"/>
    <w:rsid w:val="004A7EDD"/>
    <w:rsid w:val="004B01D3"/>
    <w:rsid w:val="004B0EC9"/>
    <w:rsid w:val="004B7BAA"/>
    <w:rsid w:val="004C2DF7"/>
    <w:rsid w:val="004C4E0B"/>
    <w:rsid w:val="004C6A4E"/>
    <w:rsid w:val="004C7CB8"/>
    <w:rsid w:val="004D2E8C"/>
    <w:rsid w:val="004D497E"/>
    <w:rsid w:val="004D6DE3"/>
    <w:rsid w:val="004E4809"/>
    <w:rsid w:val="004E4CC3"/>
    <w:rsid w:val="004E5985"/>
    <w:rsid w:val="004E6352"/>
    <w:rsid w:val="004E6460"/>
    <w:rsid w:val="004F6B46"/>
    <w:rsid w:val="0050425E"/>
    <w:rsid w:val="00511999"/>
    <w:rsid w:val="005142E5"/>
    <w:rsid w:val="005145D6"/>
    <w:rsid w:val="00521EA5"/>
    <w:rsid w:val="00525B80"/>
    <w:rsid w:val="0053098F"/>
    <w:rsid w:val="00536B2E"/>
    <w:rsid w:val="00546D8E"/>
    <w:rsid w:val="00552025"/>
    <w:rsid w:val="00553738"/>
    <w:rsid w:val="00553F7E"/>
    <w:rsid w:val="00562AD3"/>
    <w:rsid w:val="00565CD4"/>
    <w:rsid w:val="0056646F"/>
    <w:rsid w:val="00571AE1"/>
    <w:rsid w:val="0057582A"/>
    <w:rsid w:val="00580E18"/>
    <w:rsid w:val="00581B28"/>
    <w:rsid w:val="005850D5"/>
    <w:rsid w:val="005859C2"/>
    <w:rsid w:val="00591E4C"/>
    <w:rsid w:val="00592267"/>
    <w:rsid w:val="0059421F"/>
    <w:rsid w:val="005A136D"/>
    <w:rsid w:val="005A7D10"/>
    <w:rsid w:val="005B0AE2"/>
    <w:rsid w:val="005B1399"/>
    <w:rsid w:val="005B1F2C"/>
    <w:rsid w:val="005B5F3C"/>
    <w:rsid w:val="005C1170"/>
    <w:rsid w:val="005C41F2"/>
    <w:rsid w:val="005C6ECA"/>
    <w:rsid w:val="005D03D9"/>
    <w:rsid w:val="005D1EE8"/>
    <w:rsid w:val="005D56AE"/>
    <w:rsid w:val="005D666D"/>
    <w:rsid w:val="005E20DF"/>
    <w:rsid w:val="005E3A59"/>
    <w:rsid w:val="005F0023"/>
    <w:rsid w:val="00604802"/>
    <w:rsid w:val="00606580"/>
    <w:rsid w:val="00612069"/>
    <w:rsid w:val="00615AB0"/>
    <w:rsid w:val="00616247"/>
    <w:rsid w:val="0061778C"/>
    <w:rsid w:val="00636B90"/>
    <w:rsid w:val="00640D74"/>
    <w:rsid w:val="0064738B"/>
    <w:rsid w:val="006508EA"/>
    <w:rsid w:val="0065774E"/>
    <w:rsid w:val="00663492"/>
    <w:rsid w:val="00667E86"/>
    <w:rsid w:val="0068166C"/>
    <w:rsid w:val="0068392D"/>
    <w:rsid w:val="00692DC7"/>
    <w:rsid w:val="00697DB5"/>
    <w:rsid w:val="006A1B33"/>
    <w:rsid w:val="006A492A"/>
    <w:rsid w:val="006B5673"/>
    <w:rsid w:val="006B5C72"/>
    <w:rsid w:val="006B7C5A"/>
    <w:rsid w:val="006C289D"/>
    <w:rsid w:val="006D0310"/>
    <w:rsid w:val="006D1AD0"/>
    <w:rsid w:val="006D2009"/>
    <w:rsid w:val="006D5576"/>
    <w:rsid w:val="006E766D"/>
    <w:rsid w:val="006F2039"/>
    <w:rsid w:val="006F4B29"/>
    <w:rsid w:val="006F6CE9"/>
    <w:rsid w:val="00700808"/>
    <w:rsid w:val="0070450F"/>
    <w:rsid w:val="0070517C"/>
    <w:rsid w:val="00705C9F"/>
    <w:rsid w:val="00716951"/>
    <w:rsid w:val="007177AF"/>
    <w:rsid w:val="00720F6B"/>
    <w:rsid w:val="00730ADA"/>
    <w:rsid w:val="00732C37"/>
    <w:rsid w:val="00735D9E"/>
    <w:rsid w:val="00740524"/>
    <w:rsid w:val="00745A09"/>
    <w:rsid w:val="0074682A"/>
    <w:rsid w:val="00751EAF"/>
    <w:rsid w:val="00751EDB"/>
    <w:rsid w:val="00754CF7"/>
    <w:rsid w:val="00757B0D"/>
    <w:rsid w:val="00761320"/>
    <w:rsid w:val="007651B1"/>
    <w:rsid w:val="00767CE1"/>
    <w:rsid w:val="00771A68"/>
    <w:rsid w:val="007744D2"/>
    <w:rsid w:val="007815E5"/>
    <w:rsid w:val="00781F53"/>
    <w:rsid w:val="00786136"/>
    <w:rsid w:val="007B05CF"/>
    <w:rsid w:val="007B5978"/>
    <w:rsid w:val="007C1686"/>
    <w:rsid w:val="007C19A5"/>
    <w:rsid w:val="007C212A"/>
    <w:rsid w:val="007C2A7F"/>
    <w:rsid w:val="007D37FB"/>
    <w:rsid w:val="007D5B3C"/>
    <w:rsid w:val="007E7D21"/>
    <w:rsid w:val="007E7DBD"/>
    <w:rsid w:val="007F21D8"/>
    <w:rsid w:val="007F482F"/>
    <w:rsid w:val="007F7C94"/>
    <w:rsid w:val="00803293"/>
    <w:rsid w:val="00803692"/>
    <w:rsid w:val="0080398D"/>
    <w:rsid w:val="00804479"/>
    <w:rsid w:val="00805174"/>
    <w:rsid w:val="00806385"/>
    <w:rsid w:val="00807CC5"/>
    <w:rsid w:val="00807ED7"/>
    <w:rsid w:val="00814CC6"/>
    <w:rsid w:val="0082224C"/>
    <w:rsid w:val="00826D53"/>
    <w:rsid w:val="008273AA"/>
    <w:rsid w:val="00831751"/>
    <w:rsid w:val="00833369"/>
    <w:rsid w:val="00833A83"/>
    <w:rsid w:val="00835B42"/>
    <w:rsid w:val="00842A4E"/>
    <w:rsid w:val="00847D99"/>
    <w:rsid w:val="0085038E"/>
    <w:rsid w:val="0085230A"/>
    <w:rsid w:val="008539E1"/>
    <w:rsid w:val="00855757"/>
    <w:rsid w:val="00860B9A"/>
    <w:rsid w:val="0086271D"/>
    <w:rsid w:val="00862DB4"/>
    <w:rsid w:val="0086420B"/>
    <w:rsid w:val="00864C42"/>
    <w:rsid w:val="00864DBF"/>
    <w:rsid w:val="00865AE2"/>
    <w:rsid w:val="008663C8"/>
    <w:rsid w:val="0088159B"/>
    <w:rsid w:val="0088163A"/>
    <w:rsid w:val="00893376"/>
    <w:rsid w:val="0089601F"/>
    <w:rsid w:val="008970B8"/>
    <w:rsid w:val="008A7313"/>
    <w:rsid w:val="008A7D91"/>
    <w:rsid w:val="008B7FC7"/>
    <w:rsid w:val="008C4337"/>
    <w:rsid w:val="008C4F06"/>
    <w:rsid w:val="008D0C90"/>
    <w:rsid w:val="008E1E4A"/>
    <w:rsid w:val="008F0615"/>
    <w:rsid w:val="008F103E"/>
    <w:rsid w:val="008F1FDB"/>
    <w:rsid w:val="008F36FB"/>
    <w:rsid w:val="008F5E0C"/>
    <w:rsid w:val="00902EA9"/>
    <w:rsid w:val="0090427F"/>
    <w:rsid w:val="00911A2B"/>
    <w:rsid w:val="00920506"/>
    <w:rsid w:val="009236F9"/>
    <w:rsid w:val="00924DDF"/>
    <w:rsid w:val="00931206"/>
    <w:rsid w:val="00931DEB"/>
    <w:rsid w:val="00933957"/>
    <w:rsid w:val="009356FA"/>
    <w:rsid w:val="0094603B"/>
    <w:rsid w:val="009504A1"/>
    <w:rsid w:val="00950605"/>
    <w:rsid w:val="00950FB5"/>
    <w:rsid w:val="00952233"/>
    <w:rsid w:val="00954D66"/>
    <w:rsid w:val="00963F8F"/>
    <w:rsid w:val="00972594"/>
    <w:rsid w:val="00973C62"/>
    <w:rsid w:val="00975D76"/>
    <w:rsid w:val="00982E51"/>
    <w:rsid w:val="009874B9"/>
    <w:rsid w:val="00993581"/>
    <w:rsid w:val="009A1091"/>
    <w:rsid w:val="009A288C"/>
    <w:rsid w:val="009A64C1"/>
    <w:rsid w:val="009B12E8"/>
    <w:rsid w:val="009B6697"/>
    <w:rsid w:val="009B7632"/>
    <w:rsid w:val="009C2B43"/>
    <w:rsid w:val="009C2EA4"/>
    <w:rsid w:val="009C4C04"/>
    <w:rsid w:val="009D26D4"/>
    <w:rsid w:val="009D32FA"/>
    <w:rsid w:val="009D36D5"/>
    <w:rsid w:val="009D5213"/>
    <w:rsid w:val="009E1C95"/>
    <w:rsid w:val="009E4903"/>
    <w:rsid w:val="009F196A"/>
    <w:rsid w:val="009F5F76"/>
    <w:rsid w:val="009F669B"/>
    <w:rsid w:val="009F7566"/>
    <w:rsid w:val="009F7F18"/>
    <w:rsid w:val="00A02A72"/>
    <w:rsid w:val="00A06BFE"/>
    <w:rsid w:val="00A10F5D"/>
    <w:rsid w:val="00A1199A"/>
    <w:rsid w:val="00A11B67"/>
    <w:rsid w:val="00A1243C"/>
    <w:rsid w:val="00A12C42"/>
    <w:rsid w:val="00A135AE"/>
    <w:rsid w:val="00A14AF1"/>
    <w:rsid w:val="00A16891"/>
    <w:rsid w:val="00A23447"/>
    <w:rsid w:val="00A268CE"/>
    <w:rsid w:val="00A332E8"/>
    <w:rsid w:val="00A35AF5"/>
    <w:rsid w:val="00A35DDF"/>
    <w:rsid w:val="00A36CBA"/>
    <w:rsid w:val="00A41A7A"/>
    <w:rsid w:val="00A432CD"/>
    <w:rsid w:val="00A45741"/>
    <w:rsid w:val="00A47EF6"/>
    <w:rsid w:val="00A50291"/>
    <w:rsid w:val="00A530E4"/>
    <w:rsid w:val="00A54C6A"/>
    <w:rsid w:val="00A604CD"/>
    <w:rsid w:val="00A60FE6"/>
    <w:rsid w:val="00A622F5"/>
    <w:rsid w:val="00A63659"/>
    <w:rsid w:val="00A654BE"/>
    <w:rsid w:val="00A66C6C"/>
    <w:rsid w:val="00A66DD6"/>
    <w:rsid w:val="00A75018"/>
    <w:rsid w:val="00A771FD"/>
    <w:rsid w:val="00A80767"/>
    <w:rsid w:val="00A81C90"/>
    <w:rsid w:val="00A874EF"/>
    <w:rsid w:val="00A95415"/>
    <w:rsid w:val="00A97B2C"/>
    <w:rsid w:val="00AA3C89"/>
    <w:rsid w:val="00AA732F"/>
    <w:rsid w:val="00AB32BD"/>
    <w:rsid w:val="00AB4723"/>
    <w:rsid w:val="00AC1C40"/>
    <w:rsid w:val="00AC338B"/>
    <w:rsid w:val="00AC4867"/>
    <w:rsid w:val="00AC4CDB"/>
    <w:rsid w:val="00AC70FE"/>
    <w:rsid w:val="00AD2CA0"/>
    <w:rsid w:val="00AD3AA3"/>
    <w:rsid w:val="00AD4358"/>
    <w:rsid w:val="00AF61E1"/>
    <w:rsid w:val="00AF638A"/>
    <w:rsid w:val="00B00141"/>
    <w:rsid w:val="00B009AA"/>
    <w:rsid w:val="00B00ECE"/>
    <w:rsid w:val="00B030C8"/>
    <w:rsid w:val="00B039C0"/>
    <w:rsid w:val="00B03A09"/>
    <w:rsid w:val="00B056E7"/>
    <w:rsid w:val="00B05B71"/>
    <w:rsid w:val="00B10035"/>
    <w:rsid w:val="00B15C76"/>
    <w:rsid w:val="00B165E6"/>
    <w:rsid w:val="00B235DB"/>
    <w:rsid w:val="00B424D9"/>
    <w:rsid w:val="00B43408"/>
    <w:rsid w:val="00B43FCA"/>
    <w:rsid w:val="00B447C0"/>
    <w:rsid w:val="00B47C40"/>
    <w:rsid w:val="00B52510"/>
    <w:rsid w:val="00B53E53"/>
    <w:rsid w:val="00B548A2"/>
    <w:rsid w:val="00B56934"/>
    <w:rsid w:val="00B62F03"/>
    <w:rsid w:val="00B72444"/>
    <w:rsid w:val="00B93B62"/>
    <w:rsid w:val="00B953D1"/>
    <w:rsid w:val="00B96D93"/>
    <w:rsid w:val="00BA30D0"/>
    <w:rsid w:val="00BB0D32"/>
    <w:rsid w:val="00BB66BF"/>
    <w:rsid w:val="00BB685D"/>
    <w:rsid w:val="00BC2F55"/>
    <w:rsid w:val="00BC76B5"/>
    <w:rsid w:val="00BD00B6"/>
    <w:rsid w:val="00BD0426"/>
    <w:rsid w:val="00BD1CA9"/>
    <w:rsid w:val="00BD5420"/>
    <w:rsid w:val="00BE56ED"/>
    <w:rsid w:val="00BF5191"/>
    <w:rsid w:val="00C0329E"/>
    <w:rsid w:val="00C04BD2"/>
    <w:rsid w:val="00C13EEC"/>
    <w:rsid w:val="00C14689"/>
    <w:rsid w:val="00C156A4"/>
    <w:rsid w:val="00C20FAA"/>
    <w:rsid w:val="00C22FC7"/>
    <w:rsid w:val="00C23509"/>
    <w:rsid w:val="00C2459D"/>
    <w:rsid w:val="00C26119"/>
    <w:rsid w:val="00C2755A"/>
    <w:rsid w:val="00C316F1"/>
    <w:rsid w:val="00C31BE7"/>
    <w:rsid w:val="00C40BE4"/>
    <w:rsid w:val="00C41BA2"/>
    <w:rsid w:val="00C42C95"/>
    <w:rsid w:val="00C4470F"/>
    <w:rsid w:val="00C50727"/>
    <w:rsid w:val="00C54C69"/>
    <w:rsid w:val="00C55E5B"/>
    <w:rsid w:val="00C62739"/>
    <w:rsid w:val="00C720A4"/>
    <w:rsid w:val="00C74F59"/>
    <w:rsid w:val="00C7611C"/>
    <w:rsid w:val="00C859CE"/>
    <w:rsid w:val="00C85C2C"/>
    <w:rsid w:val="00C86826"/>
    <w:rsid w:val="00C94097"/>
    <w:rsid w:val="00C96526"/>
    <w:rsid w:val="00C96AD3"/>
    <w:rsid w:val="00CA4269"/>
    <w:rsid w:val="00CA48CA"/>
    <w:rsid w:val="00CA7330"/>
    <w:rsid w:val="00CB0752"/>
    <w:rsid w:val="00CB1C84"/>
    <w:rsid w:val="00CB5363"/>
    <w:rsid w:val="00CB64F0"/>
    <w:rsid w:val="00CC2909"/>
    <w:rsid w:val="00CD0549"/>
    <w:rsid w:val="00CD4D5A"/>
    <w:rsid w:val="00CE6B3C"/>
    <w:rsid w:val="00CE6C00"/>
    <w:rsid w:val="00CF2384"/>
    <w:rsid w:val="00D05E6F"/>
    <w:rsid w:val="00D0678D"/>
    <w:rsid w:val="00D20296"/>
    <w:rsid w:val="00D20A05"/>
    <w:rsid w:val="00D2231A"/>
    <w:rsid w:val="00D23907"/>
    <w:rsid w:val="00D276BD"/>
    <w:rsid w:val="00D27929"/>
    <w:rsid w:val="00D33442"/>
    <w:rsid w:val="00D419C6"/>
    <w:rsid w:val="00D44BAD"/>
    <w:rsid w:val="00D45B55"/>
    <w:rsid w:val="00D4785A"/>
    <w:rsid w:val="00D52E43"/>
    <w:rsid w:val="00D54137"/>
    <w:rsid w:val="00D664D7"/>
    <w:rsid w:val="00D67E1E"/>
    <w:rsid w:val="00D7097B"/>
    <w:rsid w:val="00D7197D"/>
    <w:rsid w:val="00D72BC4"/>
    <w:rsid w:val="00D815FC"/>
    <w:rsid w:val="00D82DC4"/>
    <w:rsid w:val="00D8517B"/>
    <w:rsid w:val="00D91DFA"/>
    <w:rsid w:val="00D940F3"/>
    <w:rsid w:val="00D94662"/>
    <w:rsid w:val="00DA159A"/>
    <w:rsid w:val="00DB1AB2"/>
    <w:rsid w:val="00DB759E"/>
    <w:rsid w:val="00DC17C2"/>
    <w:rsid w:val="00DC2AA6"/>
    <w:rsid w:val="00DC2FEB"/>
    <w:rsid w:val="00DC4B2E"/>
    <w:rsid w:val="00DC4FDF"/>
    <w:rsid w:val="00DC66F0"/>
    <w:rsid w:val="00DD16CB"/>
    <w:rsid w:val="00DD3105"/>
    <w:rsid w:val="00DD3A65"/>
    <w:rsid w:val="00DD62C6"/>
    <w:rsid w:val="00DE3B92"/>
    <w:rsid w:val="00DE48B4"/>
    <w:rsid w:val="00DE5ACA"/>
    <w:rsid w:val="00DE7137"/>
    <w:rsid w:val="00DF18E4"/>
    <w:rsid w:val="00E00498"/>
    <w:rsid w:val="00E0485B"/>
    <w:rsid w:val="00E131F8"/>
    <w:rsid w:val="00E145E4"/>
    <w:rsid w:val="00E1464C"/>
    <w:rsid w:val="00E14ADB"/>
    <w:rsid w:val="00E1611B"/>
    <w:rsid w:val="00E22F78"/>
    <w:rsid w:val="00E2425D"/>
    <w:rsid w:val="00E24F87"/>
    <w:rsid w:val="00E2617A"/>
    <w:rsid w:val="00E273FB"/>
    <w:rsid w:val="00E3139E"/>
    <w:rsid w:val="00E31CD4"/>
    <w:rsid w:val="00E3224F"/>
    <w:rsid w:val="00E3260E"/>
    <w:rsid w:val="00E538E6"/>
    <w:rsid w:val="00E56696"/>
    <w:rsid w:val="00E57B51"/>
    <w:rsid w:val="00E6030C"/>
    <w:rsid w:val="00E628AF"/>
    <w:rsid w:val="00E725E9"/>
    <w:rsid w:val="00E72979"/>
    <w:rsid w:val="00E74332"/>
    <w:rsid w:val="00E7554A"/>
    <w:rsid w:val="00E768A9"/>
    <w:rsid w:val="00E802A2"/>
    <w:rsid w:val="00E8410F"/>
    <w:rsid w:val="00E85C0B"/>
    <w:rsid w:val="00EA7089"/>
    <w:rsid w:val="00EA7BED"/>
    <w:rsid w:val="00EB13D7"/>
    <w:rsid w:val="00EB1E83"/>
    <w:rsid w:val="00EC0BA1"/>
    <w:rsid w:val="00ED22CB"/>
    <w:rsid w:val="00ED4571"/>
    <w:rsid w:val="00ED4BB1"/>
    <w:rsid w:val="00ED67AF"/>
    <w:rsid w:val="00EE11F0"/>
    <w:rsid w:val="00EE128C"/>
    <w:rsid w:val="00EE3E80"/>
    <w:rsid w:val="00EE4C48"/>
    <w:rsid w:val="00EE5D2E"/>
    <w:rsid w:val="00EE7E6F"/>
    <w:rsid w:val="00EF66D9"/>
    <w:rsid w:val="00EF68E3"/>
    <w:rsid w:val="00EF6BA5"/>
    <w:rsid w:val="00EF780D"/>
    <w:rsid w:val="00EF7A98"/>
    <w:rsid w:val="00F0267E"/>
    <w:rsid w:val="00F02B57"/>
    <w:rsid w:val="00F071B2"/>
    <w:rsid w:val="00F073EC"/>
    <w:rsid w:val="00F11B47"/>
    <w:rsid w:val="00F14E89"/>
    <w:rsid w:val="00F2412D"/>
    <w:rsid w:val="00F25D8D"/>
    <w:rsid w:val="00F3069C"/>
    <w:rsid w:val="00F3373C"/>
    <w:rsid w:val="00F3603E"/>
    <w:rsid w:val="00F40E9F"/>
    <w:rsid w:val="00F43D65"/>
    <w:rsid w:val="00F44CCB"/>
    <w:rsid w:val="00F46BB5"/>
    <w:rsid w:val="00F474C9"/>
    <w:rsid w:val="00F47647"/>
    <w:rsid w:val="00F5126B"/>
    <w:rsid w:val="00F54EA3"/>
    <w:rsid w:val="00F56B69"/>
    <w:rsid w:val="00F61675"/>
    <w:rsid w:val="00F6686B"/>
    <w:rsid w:val="00F67F74"/>
    <w:rsid w:val="00F70707"/>
    <w:rsid w:val="00F712B3"/>
    <w:rsid w:val="00F71E9F"/>
    <w:rsid w:val="00F73DE3"/>
    <w:rsid w:val="00F744BF"/>
    <w:rsid w:val="00F7632C"/>
    <w:rsid w:val="00F77219"/>
    <w:rsid w:val="00F84DD2"/>
    <w:rsid w:val="00F95439"/>
    <w:rsid w:val="00FA51F6"/>
    <w:rsid w:val="00FA637F"/>
    <w:rsid w:val="00FA7416"/>
    <w:rsid w:val="00FB0872"/>
    <w:rsid w:val="00FB54CC"/>
    <w:rsid w:val="00FD120F"/>
    <w:rsid w:val="00FD1A37"/>
    <w:rsid w:val="00FD4E5B"/>
    <w:rsid w:val="00FE4EE0"/>
    <w:rsid w:val="00FF0F9A"/>
    <w:rsid w:val="00FF1966"/>
    <w:rsid w:val="00FF4D54"/>
    <w:rsid w:val="00FF582E"/>
    <w:rsid w:val="00FF68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51D25B2C"/>
  <w15:docId w15:val="{3882A668-7E54-4AFC-9D95-556AA465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next w:val="WMOBodyText"/>
    <w:qFormat/>
    <w:rsid w:val="00B62F0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D3CFB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Heading3">
    <w:name w:val="heading 3"/>
    <w:next w:val="WMOBodyText"/>
    <w:link w:val="Heading3Char"/>
    <w:qFormat/>
    <w:rsid w:val="001D3CFB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n-GB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D3CFB"/>
    <w:rPr>
      <w:rFonts w:ascii="Verdana" w:eastAsia="Verdana" w:hAnsi="Verdana" w:cs="Verdana"/>
      <w:b/>
      <w:bCs/>
      <w:iCs/>
      <w:sz w:val="22"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C4470F"/>
    <w:pPr>
      <w:spacing w:before="240"/>
    </w:pPr>
    <w:rPr>
      <w:rFonts w:ascii="Verdana" w:eastAsia="Verdana" w:hAnsi="Verdana" w:cs="Verdana"/>
      <w:lang w:val="en-GB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C4470F"/>
    <w:rPr>
      <w:rFonts w:ascii="Verdana" w:eastAsia="Verdana" w:hAnsi="Verdana" w:cs="Verdana"/>
      <w:lang w:val="en-GB"/>
    </w:rPr>
  </w:style>
  <w:style w:type="table" w:styleId="TableGrid">
    <w:name w:val="Table Grid"/>
    <w:basedOn w:val="TableNormal"/>
    <w:uiPriority w:val="39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Heading3Char">
    <w:name w:val="Heading 3 Char"/>
    <w:basedOn w:val="DefaultParagraphFont"/>
    <w:link w:val="Heading3"/>
    <w:rsid w:val="00A80767"/>
    <w:rPr>
      <w:rFonts w:ascii="Verdana" w:eastAsia="Verdana" w:hAnsi="Verdana" w:cs="Verdana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231A"/>
    <w:rPr>
      <w:color w:val="605E5C"/>
      <w:shd w:val="clear" w:color="auto" w:fill="E1DFDD"/>
    </w:rPr>
  </w:style>
  <w:style w:type="paragraph" w:customStyle="1" w:styleId="Pa20">
    <w:name w:val="Pa20"/>
    <w:basedOn w:val="Normal"/>
    <w:next w:val="Normal"/>
    <w:uiPriority w:val="99"/>
    <w:rsid w:val="006B5673"/>
    <w:pPr>
      <w:tabs>
        <w:tab w:val="clear" w:pos="1134"/>
      </w:tabs>
      <w:autoSpaceDE w:val="0"/>
      <w:autoSpaceDN w:val="0"/>
      <w:adjustRightInd w:val="0"/>
      <w:spacing w:line="201" w:lineRule="atLeast"/>
      <w:jc w:val="left"/>
    </w:pPr>
    <w:rPr>
      <w:rFonts w:eastAsiaTheme="minorHAnsi" w:cstheme="minorBidi"/>
      <w:sz w:val="24"/>
      <w:szCs w:val="24"/>
    </w:rPr>
  </w:style>
  <w:style w:type="paragraph" w:customStyle="1" w:styleId="xmsonormal">
    <w:name w:val="x_msonormal"/>
    <w:basedOn w:val="Normal"/>
    <w:rsid w:val="006B5673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etings.wmo.int/INFCOM-2/_layouts/15/WopiFrame.aspx?sourcedoc=/INFCOM-2/Spanish/2.%20VERSI%C3%93N%20PROVISIONAL%20DEL%20INFORME%20(Documentos%20aprobados)/INFCOM-2-d06-2(5)-RADIATION-REFERENCES-approved_es.docx&amp;action=defau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4C997-AFE9-4FD5-8B67-4DD00902483D}">
  <ds:schemaRefs>
    <ds:schemaRef ds:uri="http://schemas.microsoft.com/office/2006/documentManagement/types"/>
    <ds:schemaRef ds:uri="ce21bc6c-711a-4065-a01c-a8f0e29e3ad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3679bf0f-1d7e-438f-afa5-6ebf1e20f9b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8B9D568-5F61-4EE1-BE9C-0C1DABB0CAC9}"/>
</file>

<file path=customXml/itemProps4.xml><?xml version="1.0" encoding="utf-8"?>
<ds:datastoreItem xmlns:ds="http://schemas.openxmlformats.org/officeDocument/2006/customXml" ds:itemID="{769EF36A-1252-45BF-8F3D-EDEC74AA1F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1058</Words>
  <Characters>6264</Characters>
  <Application>Microsoft Office Word</Application>
  <DocSecurity>0</DocSecurity>
  <Lines>137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7275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Nadia Oppliger</dc:creator>
  <cp:lastModifiedBy>Elena Vicente</cp:lastModifiedBy>
  <cp:revision>169</cp:revision>
  <cp:lastPrinted>2013-03-12T09:27:00Z</cp:lastPrinted>
  <dcterms:created xsi:type="dcterms:W3CDTF">2023-01-06T14:23:00Z</dcterms:created>
  <dcterms:modified xsi:type="dcterms:W3CDTF">2023-01-11T08:50:00Z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  <property fmtid="{D5CDD505-2E9C-101B-9397-08002B2CF9AE}" pid="4" name="TranslatedWith">
    <vt:lpwstr>Mercury</vt:lpwstr>
  </property>
  <property fmtid="{D5CDD505-2E9C-101B-9397-08002B2CF9AE}" pid="5" name="GeneratedBy">
    <vt:lpwstr>laura.marin</vt:lpwstr>
  </property>
  <property fmtid="{D5CDD505-2E9C-101B-9397-08002B2CF9AE}" pid="6" name="GeneratedDate">
    <vt:lpwstr>01/06/2023 14:22:23</vt:lpwstr>
  </property>
  <property fmtid="{D5CDD505-2E9C-101B-9397-08002B2CF9AE}" pid="7" name="OriginalDocID">
    <vt:lpwstr>1e3cfeeb-28aa-469a-b670-f5a7d9a532a1</vt:lpwstr>
  </property>
</Properties>
</file>